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theme/themeOverride4.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19.xml" ContentType="application/vnd.ms-office.chartstyle+xml"/>
  <Override PartName="/word/charts/colors19.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D84" w:rsidRPr="00D1550C" w:rsidRDefault="002E2C60" w:rsidP="00271CDD">
      <w:pPr>
        <w:tabs>
          <w:tab w:val="left" w:pos="10348"/>
        </w:tabs>
        <w:rPr>
          <w:rFonts w:cs="Calibri"/>
          <w:b/>
          <w:color w:val="000000"/>
          <w:sz w:val="28"/>
        </w:rPr>
      </w:pPr>
      <w:bookmarkStart w:id="0" w:name="_GoBack"/>
      <w:bookmarkEnd w:id="0"/>
      <w:r w:rsidRPr="00D1550C">
        <w:rPr>
          <w:rFonts w:cs="Calibri"/>
          <w:b/>
          <w:noProof/>
          <w:color w:val="000000"/>
          <w:sz w:val="28"/>
          <w:lang w:val="ru-RU"/>
        </w:rPr>
        <w:drawing>
          <wp:anchor distT="0" distB="0" distL="114300" distR="114300" simplePos="0" relativeHeight="251722752" behindDoc="1" locked="0" layoutInCell="1" allowOverlap="1">
            <wp:simplePos x="0" y="0"/>
            <wp:positionH relativeFrom="column">
              <wp:posOffset>19050</wp:posOffset>
            </wp:positionH>
            <wp:positionV relativeFrom="paragraph">
              <wp:posOffset>-195580</wp:posOffset>
            </wp:positionV>
            <wp:extent cx="7543399" cy="10668000"/>
            <wp:effectExtent l="0" t="0" r="63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403" cy="10690634"/>
                    </a:xfrm>
                    <a:prstGeom prst="rect">
                      <a:avLst/>
                    </a:prstGeom>
                  </pic:spPr>
                </pic:pic>
              </a:graphicData>
            </a:graphic>
            <wp14:sizeRelH relativeFrom="margin">
              <wp14:pctWidth>0</wp14:pctWidth>
            </wp14:sizeRelH>
            <wp14:sizeRelV relativeFrom="margin">
              <wp14:pctHeight>0</wp14:pctHeight>
            </wp14:sizeRelV>
          </wp:anchor>
        </w:drawing>
      </w:r>
    </w:p>
    <w:p w:rsidR="00084A80" w:rsidRPr="00D1550C" w:rsidRDefault="00084A80" w:rsidP="00961BD0">
      <w:pPr>
        <w:jc w:val="center"/>
        <w:sectPr w:rsidR="00084A80" w:rsidRPr="00D1550C" w:rsidSect="00084A80">
          <w:headerReference w:type="default" r:id="rId9"/>
          <w:footerReference w:type="default" r:id="rId10"/>
          <w:headerReference w:type="first" r:id="rId11"/>
          <w:footerReference w:type="first" r:id="rId12"/>
          <w:pgSz w:w="11906" w:h="16838" w:code="9"/>
          <w:pgMar w:top="0" w:right="0" w:bottom="0" w:left="0" w:header="0" w:footer="0" w:gutter="0"/>
          <w:cols w:space="708"/>
          <w:titlePg/>
          <w:docGrid w:linePitch="360"/>
        </w:sectPr>
      </w:pPr>
    </w:p>
    <w:p w:rsidR="00D352B7" w:rsidRPr="00D1550C" w:rsidRDefault="00D352B7" w:rsidP="00D352B7">
      <w:pPr>
        <w:jc w:val="center"/>
        <w:rPr>
          <w:rFonts w:ascii="Times New Roman" w:hAnsi="Times New Roman"/>
          <w:b/>
          <w:sz w:val="28"/>
          <w:szCs w:val="28"/>
        </w:rPr>
      </w:pPr>
    </w:p>
    <w:p w:rsidR="00D352B7" w:rsidRPr="00D1550C" w:rsidRDefault="00D352B7" w:rsidP="00D352B7">
      <w:pPr>
        <w:ind w:firstLine="709"/>
        <w:rPr>
          <w:rFonts w:cs="Calibri"/>
          <w:b/>
          <w:sz w:val="28"/>
          <w:szCs w:val="28"/>
        </w:rPr>
      </w:pPr>
      <w:r w:rsidRPr="00D1550C">
        <w:rPr>
          <w:rFonts w:cs="Calibri"/>
          <w:b/>
          <w:sz w:val="28"/>
          <w:szCs w:val="28"/>
        </w:rPr>
        <w:t>INTRODUCTION</w:t>
      </w:r>
    </w:p>
    <w:p w:rsidR="009120F6" w:rsidRPr="00D1550C" w:rsidRDefault="009120F6" w:rsidP="00A31DAC">
      <w:pPr>
        <w:tabs>
          <w:tab w:val="left" w:pos="2429"/>
        </w:tabs>
        <w:spacing w:line="259" w:lineRule="auto"/>
        <w:rPr>
          <w:rFonts w:ascii="Times New Roman" w:hAnsi="Times New Roman"/>
          <w:b/>
          <w:sz w:val="28"/>
          <w:szCs w:val="28"/>
        </w:rPr>
      </w:pPr>
    </w:p>
    <w:p w:rsidR="00412866" w:rsidRPr="00D1550C" w:rsidRDefault="00412866" w:rsidP="00412866">
      <w:pPr>
        <w:spacing w:before="120" w:line="360" w:lineRule="auto"/>
        <w:ind w:firstLine="709"/>
        <w:jc w:val="both"/>
        <w:rPr>
          <w:rFonts w:cs="Calibri"/>
          <w:sz w:val="26"/>
          <w:szCs w:val="26"/>
        </w:rPr>
      </w:pPr>
      <w:r w:rsidRPr="00D1550C">
        <w:rPr>
          <w:rFonts w:cs="Calibri"/>
          <w:sz w:val="26"/>
          <w:szCs w:val="26"/>
        </w:rPr>
        <w:t xml:space="preserve">This publication is prepared by the Central Bank of the Republic of Uzbekistan. </w:t>
      </w:r>
      <w:r w:rsidRPr="00D1550C">
        <w:rPr>
          <w:rFonts w:cs="Calibri"/>
          <w:sz w:val="26"/>
          <w:szCs w:val="26"/>
        </w:rPr>
        <w:br/>
        <w:t xml:space="preserve">The publication provides information on the balance of payments and international investment position, as well as external debt for </w:t>
      </w:r>
      <w:r w:rsidR="00DE2175" w:rsidRPr="00D1550C">
        <w:rPr>
          <w:rFonts w:cs="Calibri"/>
          <w:sz w:val="26"/>
          <w:szCs w:val="26"/>
        </w:rPr>
        <w:t xml:space="preserve">the </w:t>
      </w:r>
      <w:r w:rsidR="00DE2175" w:rsidRPr="00D1550C">
        <w:rPr>
          <w:sz w:val="26"/>
          <w:szCs w:val="26"/>
        </w:rPr>
        <w:t>1</w:t>
      </w:r>
      <w:r w:rsidR="00DE2175" w:rsidRPr="00D1550C">
        <w:rPr>
          <w:sz w:val="26"/>
          <w:szCs w:val="26"/>
          <w:vertAlign w:val="superscript"/>
        </w:rPr>
        <w:t>st</w:t>
      </w:r>
      <w:r w:rsidRPr="00D1550C">
        <w:rPr>
          <w:sz w:val="26"/>
          <w:szCs w:val="26"/>
        </w:rPr>
        <w:t xml:space="preserve"> half</w:t>
      </w:r>
      <w:r w:rsidRPr="00D1550C">
        <w:rPr>
          <w:rFonts w:cs="Calibri"/>
          <w:sz w:val="26"/>
          <w:szCs w:val="26"/>
        </w:rPr>
        <w:t xml:space="preserve"> </w:t>
      </w:r>
      <w:r w:rsidR="00DE2175" w:rsidRPr="00D1550C">
        <w:rPr>
          <w:rFonts w:cs="Calibri"/>
          <w:sz w:val="26"/>
          <w:szCs w:val="26"/>
        </w:rPr>
        <w:t xml:space="preserve">of </w:t>
      </w:r>
      <w:r w:rsidRPr="00D1550C">
        <w:rPr>
          <w:rFonts w:cs="Calibri"/>
          <w:sz w:val="26"/>
          <w:szCs w:val="26"/>
        </w:rPr>
        <w:t>2021, which was compiled in accordance with the sixth edition of the Balance of Payments and International Investment Position Manual (BPM6. IMF, 2009) and External Debt Statistics Manual (IMF, 2013).</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The recovery of historical data and implementing new forms of reporting on external debt was performed in line with transition to IMF’s Special Data Dissemination Standard </w:t>
      </w:r>
      <w:r w:rsidRPr="00D1550C">
        <w:rPr>
          <w:rFonts w:cs="Calibri"/>
          <w:sz w:val="26"/>
          <w:szCs w:val="26"/>
        </w:rPr>
        <w:br/>
        <w:t xml:space="preserve">and support users with consecutive data series.  </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While performing a comparative analysis, some relative indicators, as well as expert opinions on the observed changes were presented to facilitate the understanding of the data in the context of overall economic conditions. Methodological comments on balance </w:t>
      </w:r>
      <w:r w:rsidRPr="00D1550C">
        <w:rPr>
          <w:rFonts w:cs="Calibri"/>
          <w:sz w:val="26"/>
          <w:szCs w:val="26"/>
        </w:rPr>
        <w:br/>
        <w:t xml:space="preserve">of payment, as well as sources of information and explanations to compiled data are given </w:t>
      </w:r>
      <w:r w:rsidRPr="00D1550C">
        <w:rPr>
          <w:rFonts w:cs="Calibri"/>
          <w:sz w:val="26"/>
          <w:szCs w:val="26"/>
        </w:rPr>
        <w:br/>
        <w:t>in a separate section at the end of the publication.</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Previously published historical series are adjusted when accounting methodology </w:t>
      </w:r>
      <w:r w:rsidRPr="00D1550C">
        <w:rPr>
          <w:rFonts w:cs="Calibri"/>
          <w:sz w:val="26"/>
          <w:szCs w:val="26"/>
        </w:rPr>
        <w:br/>
        <w:t xml:space="preserve">is changed and/or additional data is received. Wherein reports received on transactions between residents and nonresidents, information provided by business entities, detected statistical discrepancies and foreign trade data refinement are the sources for an update </w:t>
      </w:r>
      <w:r w:rsidRPr="00D1550C">
        <w:rPr>
          <w:rFonts w:cs="Calibri"/>
          <w:sz w:val="26"/>
          <w:szCs w:val="26"/>
        </w:rPr>
        <w:br/>
        <w:t>of previously published series.</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The data, presented in the publication, is relevant as of September, 2021.</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Due to rounding of data provided in the tables of this review, minor discrepancies between the result and the sum of the summands are possible.</w:t>
      </w:r>
    </w:p>
    <w:p w:rsidR="00390DE5" w:rsidRPr="00D1550C" w:rsidRDefault="00412866" w:rsidP="00412866">
      <w:pPr>
        <w:spacing w:before="120" w:line="360" w:lineRule="auto"/>
        <w:ind w:firstLine="709"/>
        <w:jc w:val="both"/>
        <w:rPr>
          <w:rFonts w:cs="Calibri"/>
          <w:sz w:val="26"/>
          <w:szCs w:val="26"/>
        </w:rPr>
      </w:pPr>
      <w:r w:rsidRPr="00D1550C">
        <w:rPr>
          <w:rFonts w:cs="Calibri"/>
          <w:sz w:val="26"/>
          <w:szCs w:val="26"/>
        </w:rPr>
        <w:t xml:space="preserve">Statistical tables on the analytical presentation of the balance of payments </w:t>
      </w:r>
      <w:r w:rsidRPr="00D1550C">
        <w:rPr>
          <w:rFonts w:cs="Calibri"/>
          <w:sz w:val="26"/>
          <w:szCs w:val="26"/>
        </w:rPr>
        <w:br/>
        <w:t xml:space="preserve">and international investment position and the total external debt are provided on the website of the Central Bank of the Republic of Uzbekistan </w:t>
      </w:r>
      <w:hyperlink r:id="rId13" w:history="1">
        <w:r w:rsidRPr="00D1550C">
          <w:rPr>
            <w:rStyle w:val="af0"/>
            <w:rFonts w:cs="Calibri"/>
            <w:sz w:val="26"/>
            <w:szCs w:val="26"/>
          </w:rPr>
          <w:t>http://www.cbu.uz/.</w:t>
        </w:r>
      </w:hyperlink>
      <w:r w:rsidRPr="00D1550C">
        <w:rPr>
          <w:rFonts w:cs="Calibri"/>
          <w:sz w:val="26"/>
          <w:szCs w:val="26"/>
        </w:rPr>
        <w:t xml:space="preserve"> In addition, statistical tables on the standard and analytical presentations of the balance of payments </w:t>
      </w:r>
      <w:r w:rsidRPr="00D1550C">
        <w:rPr>
          <w:rFonts w:cs="Calibri"/>
          <w:sz w:val="26"/>
          <w:szCs w:val="26"/>
        </w:rPr>
        <w:br/>
        <w:t xml:space="preserve">and international investment position are available on IMF’s </w:t>
      </w:r>
      <w:hyperlink r:id="rId14" w:history="1">
        <w:r w:rsidRPr="00D1550C">
          <w:rPr>
            <w:rStyle w:val="af0"/>
            <w:rFonts w:cs="Calibri"/>
            <w:sz w:val="26"/>
            <w:szCs w:val="26"/>
          </w:rPr>
          <w:t>http://data.imf.org/</w:t>
        </w:r>
      </w:hyperlink>
      <w:r w:rsidRPr="00D1550C">
        <w:rPr>
          <w:rFonts w:cs="Calibri"/>
          <w:sz w:val="26"/>
          <w:szCs w:val="26"/>
        </w:rPr>
        <w:t>.</w:t>
      </w:r>
    </w:p>
    <w:p w:rsidR="00390DE5" w:rsidRPr="00D1550C" w:rsidRDefault="00390DE5" w:rsidP="00020662">
      <w:pPr>
        <w:pStyle w:val="af"/>
        <w:spacing w:before="120" w:line="360" w:lineRule="auto"/>
        <w:ind w:left="0" w:firstLine="708"/>
        <w:jc w:val="both"/>
        <w:rPr>
          <w:rFonts w:cs="Calibri"/>
          <w:sz w:val="26"/>
          <w:szCs w:val="26"/>
        </w:rPr>
      </w:pPr>
      <w:r w:rsidRPr="00D1550C">
        <w:rPr>
          <w:rFonts w:cs="Calibri"/>
          <w:sz w:val="26"/>
          <w:szCs w:val="26"/>
        </w:rPr>
        <w:lastRenderedPageBreak/>
        <w:t>For questions and proposals concerning the publication, please, contact the Central Bank of the Republic of Uzbekistan by the following phone numbers or e-mail addresses:</w:t>
      </w:r>
    </w:p>
    <w:p w:rsidR="00390DE5" w:rsidRPr="00D1550C" w:rsidRDefault="00390DE5" w:rsidP="00390DE5">
      <w:pPr>
        <w:pStyle w:val="af"/>
        <w:spacing w:before="120" w:line="288" w:lineRule="auto"/>
        <w:ind w:left="0" w:firstLine="708"/>
        <w:jc w:val="both"/>
        <w:rPr>
          <w:rFonts w:cs="Calibri"/>
          <w:sz w:val="26"/>
          <w:szCs w:val="26"/>
        </w:rPr>
      </w:pPr>
    </w:p>
    <w:tbl>
      <w:tblPr>
        <w:tblW w:w="9854" w:type="dxa"/>
        <w:tblLook w:val="04A0" w:firstRow="1" w:lastRow="0" w:firstColumn="1" w:lastColumn="0" w:noHBand="0" w:noVBand="1"/>
      </w:tblPr>
      <w:tblGrid>
        <w:gridCol w:w="4951"/>
        <w:gridCol w:w="4903"/>
      </w:tblGrid>
      <w:tr w:rsidR="00390DE5" w:rsidRPr="00D1550C" w:rsidTr="003A25D6">
        <w:tc>
          <w:tcPr>
            <w:tcW w:w="4951" w:type="dxa"/>
            <w:shd w:val="clear" w:color="auto" w:fill="auto"/>
          </w:tcPr>
          <w:p w:rsidR="00390DE5" w:rsidRPr="00D1550C" w:rsidRDefault="00390DE5" w:rsidP="003A25D6">
            <w:pPr>
              <w:pStyle w:val="af"/>
              <w:spacing w:after="80"/>
              <w:ind w:left="708"/>
              <w:jc w:val="both"/>
              <w:rPr>
                <w:rFonts w:cs="Calibri"/>
                <w:sz w:val="26"/>
                <w:szCs w:val="26"/>
              </w:rPr>
            </w:pPr>
            <w:r w:rsidRPr="00D1550C">
              <w:rPr>
                <w:rFonts w:cs="Calibri"/>
                <w:sz w:val="26"/>
                <w:szCs w:val="26"/>
              </w:rPr>
              <w:t>(+998) 71 212-60-38</w:t>
            </w:r>
          </w:p>
          <w:p w:rsidR="00390DE5" w:rsidRPr="00D1550C" w:rsidRDefault="001444AD" w:rsidP="003A25D6">
            <w:pPr>
              <w:pStyle w:val="af"/>
              <w:spacing w:after="80"/>
              <w:ind w:left="708"/>
              <w:jc w:val="both"/>
              <w:rPr>
                <w:rFonts w:cs="Calibri"/>
                <w:sz w:val="26"/>
                <w:szCs w:val="26"/>
              </w:rPr>
            </w:pPr>
            <w:hyperlink r:id="rId15" w:history="1">
              <w:r w:rsidR="00FD0979" w:rsidRPr="00D1550C">
                <w:rPr>
                  <w:rStyle w:val="af0"/>
                  <w:sz w:val="26"/>
                  <w:szCs w:val="26"/>
                </w:rPr>
                <w:t>j.fayzullaxodjaev@cbu.uz</w:t>
              </w:r>
            </w:hyperlink>
          </w:p>
          <w:p w:rsidR="00390DE5" w:rsidRPr="00D1550C" w:rsidRDefault="00390DE5" w:rsidP="003A25D6">
            <w:pPr>
              <w:pStyle w:val="af"/>
              <w:spacing w:after="80"/>
              <w:ind w:left="0"/>
              <w:jc w:val="both"/>
              <w:rPr>
                <w:rFonts w:cs="Calibri"/>
                <w:sz w:val="26"/>
                <w:szCs w:val="26"/>
              </w:rPr>
            </w:pPr>
          </w:p>
        </w:tc>
        <w:tc>
          <w:tcPr>
            <w:tcW w:w="4903" w:type="dxa"/>
            <w:shd w:val="clear" w:color="auto" w:fill="auto"/>
          </w:tcPr>
          <w:p w:rsidR="00390DE5" w:rsidRPr="00D1550C" w:rsidRDefault="005529A2" w:rsidP="003A25D6">
            <w:pPr>
              <w:pStyle w:val="af"/>
              <w:spacing w:after="80"/>
              <w:ind w:left="0"/>
              <w:rPr>
                <w:rFonts w:cs="Calibri"/>
                <w:sz w:val="26"/>
                <w:szCs w:val="26"/>
              </w:rPr>
            </w:pPr>
            <w:r w:rsidRPr="00D1550C">
              <w:rPr>
                <w:rFonts w:cs="Calibri"/>
                <w:sz w:val="26"/>
                <w:szCs w:val="26"/>
              </w:rPr>
              <w:t>J</w:t>
            </w:r>
            <w:r w:rsidR="00390DE5" w:rsidRPr="00D1550C">
              <w:rPr>
                <w:rFonts w:cs="Calibri"/>
                <w:sz w:val="26"/>
                <w:szCs w:val="26"/>
              </w:rPr>
              <w:t>.</w:t>
            </w:r>
            <w:r w:rsidR="00D74224" w:rsidRPr="00D1550C">
              <w:rPr>
                <w:rFonts w:cs="Calibri"/>
                <w:sz w:val="26"/>
                <w:szCs w:val="26"/>
              </w:rPr>
              <w:t> </w:t>
            </w:r>
            <w:r w:rsidR="00FD0979" w:rsidRPr="00D1550C">
              <w:rPr>
                <w:rFonts w:cs="Calibri"/>
                <w:sz w:val="26"/>
                <w:szCs w:val="26"/>
              </w:rPr>
              <w:t>Fayzullax</w:t>
            </w:r>
            <w:r w:rsidRPr="00D1550C">
              <w:rPr>
                <w:rFonts w:cs="Calibri"/>
                <w:sz w:val="26"/>
                <w:szCs w:val="26"/>
              </w:rPr>
              <w:t>odjaev</w:t>
            </w:r>
          </w:p>
          <w:p w:rsidR="00390DE5" w:rsidRPr="00D1550C" w:rsidRDefault="00390DE5" w:rsidP="003A25D6">
            <w:pPr>
              <w:pStyle w:val="af"/>
              <w:spacing w:after="80"/>
              <w:ind w:left="0"/>
              <w:rPr>
                <w:rFonts w:cs="Calibri"/>
                <w:sz w:val="26"/>
                <w:szCs w:val="26"/>
              </w:rPr>
            </w:pPr>
            <w:r w:rsidRPr="00D1550C">
              <w:rPr>
                <w:rFonts w:cs="Calibri"/>
                <w:sz w:val="26"/>
                <w:szCs w:val="26"/>
              </w:rPr>
              <w:t>Director of Department</w:t>
            </w:r>
          </w:p>
        </w:tc>
      </w:tr>
      <w:tr w:rsidR="00390DE5" w:rsidRPr="00D1550C" w:rsidTr="003A25D6">
        <w:tc>
          <w:tcPr>
            <w:tcW w:w="4951" w:type="dxa"/>
            <w:shd w:val="clear" w:color="auto" w:fill="auto"/>
          </w:tcPr>
          <w:p w:rsidR="00390DE5" w:rsidRPr="00D1550C" w:rsidRDefault="00390DE5" w:rsidP="003A25D6">
            <w:pPr>
              <w:pStyle w:val="af"/>
              <w:spacing w:after="80"/>
              <w:ind w:left="708"/>
              <w:jc w:val="both"/>
              <w:rPr>
                <w:rFonts w:cs="Calibri"/>
                <w:sz w:val="26"/>
                <w:szCs w:val="26"/>
              </w:rPr>
            </w:pPr>
            <w:r w:rsidRPr="00D1550C">
              <w:rPr>
                <w:rFonts w:cs="Calibri"/>
                <w:sz w:val="26"/>
                <w:szCs w:val="26"/>
              </w:rPr>
              <w:t>(+998) 71 212-60-76</w:t>
            </w:r>
          </w:p>
          <w:p w:rsidR="00390DE5" w:rsidRPr="00D1550C" w:rsidRDefault="001444AD" w:rsidP="003A25D6">
            <w:pPr>
              <w:pStyle w:val="af"/>
              <w:spacing w:after="80"/>
              <w:ind w:left="708"/>
              <w:jc w:val="both"/>
              <w:rPr>
                <w:rFonts w:cs="Calibri"/>
                <w:sz w:val="26"/>
                <w:szCs w:val="26"/>
              </w:rPr>
            </w:pPr>
            <w:hyperlink r:id="rId16" w:history="1">
              <w:r w:rsidR="00390DE5" w:rsidRPr="00D1550C">
                <w:rPr>
                  <w:rStyle w:val="af0"/>
                  <w:rFonts w:cs="Calibri"/>
                  <w:sz w:val="26"/>
                  <w:szCs w:val="26"/>
                </w:rPr>
                <w:t>r.mirzaahmedov@cbu.uz</w:t>
              </w:r>
            </w:hyperlink>
          </w:p>
          <w:p w:rsidR="00390DE5" w:rsidRPr="00D1550C" w:rsidRDefault="00390DE5" w:rsidP="003A25D6">
            <w:pPr>
              <w:pStyle w:val="af"/>
              <w:spacing w:after="80"/>
              <w:ind w:left="0"/>
              <w:jc w:val="both"/>
              <w:rPr>
                <w:rFonts w:cs="Calibri"/>
                <w:sz w:val="26"/>
                <w:szCs w:val="26"/>
              </w:rPr>
            </w:pPr>
          </w:p>
        </w:tc>
        <w:tc>
          <w:tcPr>
            <w:tcW w:w="4903" w:type="dxa"/>
            <w:shd w:val="clear" w:color="auto" w:fill="auto"/>
          </w:tcPr>
          <w:p w:rsidR="00390DE5" w:rsidRPr="00D1550C" w:rsidRDefault="00390DE5" w:rsidP="003A25D6">
            <w:pPr>
              <w:pStyle w:val="af"/>
              <w:tabs>
                <w:tab w:val="left" w:pos="2552"/>
              </w:tabs>
              <w:spacing w:before="120" w:after="80"/>
              <w:ind w:left="0"/>
              <w:rPr>
                <w:rFonts w:cs="Calibri"/>
                <w:sz w:val="26"/>
                <w:szCs w:val="26"/>
              </w:rPr>
            </w:pPr>
            <w:r w:rsidRPr="00D1550C">
              <w:rPr>
                <w:rFonts w:cs="Calibri"/>
                <w:sz w:val="26"/>
                <w:szCs w:val="26"/>
              </w:rPr>
              <w:t>R.</w:t>
            </w:r>
            <w:r w:rsidR="00D74224" w:rsidRPr="00D1550C">
              <w:rPr>
                <w:rFonts w:cs="Calibri"/>
                <w:sz w:val="26"/>
                <w:szCs w:val="26"/>
              </w:rPr>
              <w:t> </w:t>
            </w:r>
            <w:r w:rsidRPr="00D1550C">
              <w:rPr>
                <w:rFonts w:cs="Calibri"/>
                <w:sz w:val="26"/>
                <w:szCs w:val="26"/>
              </w:rPr>
              <w:t xml:space="preserve">Mirzaakhmedov </w:t>
            </w:r>
          </w:p>
          <w:p w:rsidR="00390DE5" w:rsidRPr="00D1550C" w:rsidRDefault="00390DE5" w:rsidP="003A25D6">
            <w:pPr>
              <w:pStyle w:val="af"/>
              <w:tabs>
                <w:tab w:val="left" w:pos="2552"/>
              </w:tabs>
              <w:spacing w:after="80"/>
              <w:ind w:left="0"/>
              <w:rPr>
                <w:rFonts w:cs="Calibri"/>
                <w:sz w:val="26"/>
                <w:szCs w:val="26"/>
              </w:rPr>
            </w:pPr>
            <w:r w:rsidRPr="00D1550C">
              <w:rPr>
                <w:rFonts w:cs="Calibri"/>
                <w:sz w:val="26"/>
                <w:szCs w:val="26"/>
              </w:rPr>
              <w:t>Head of Balance of Payments Division</w:t>
            </w:r>
          </w:p>
        </w:tc>
      </w:tr>
      <w:tr w:rsidR="00375A4B" w:rsidRPr="00D1550C" w:rsidTr="003A25D6">
        <w:tc>
          <w:tcPr>
            <w:tcW w:w="4951" w:type="dxa"/>
            <w:shd w:val="clear" w:color="auto" w:fill="auto"/>
          </w:tcPr>
          <w:p w:rsidR="00375A4B" w:rsidRPr="00D1550C" w:rsidRDefault="00375A4B" w:rsidP="00375A4B">
            <w:pPr>
              <w:pStyle w:val="af"/>
              <w:spacing w:after="80"/>
              <w:ind w:left="708"/>
              <w:jc w:val="both"/>
              <w:rPr>
                <w:rFonts w:cs="Calibri"/>
                <w:sz w:val="26"/>
                <w:szCs w:val="26"/>
              </w:rPr>
            </w:pPr>
            <w:r w:rsidRPr="00D1550C">
              <w:rPr>
                <w:rFonts w:cs="Calibri"/>
                <w:sz w:val="26"/>
                <w:szCs w:val="26"/>
              </w:rPr>
              <w:t>(+998) 71 212-60-42</w:t>
            </w:r>
          </w:p>
          <w:p w:rsidR="00375A4B" w:rsidRPr="00D1550C" w:rsidRDefault="001444AD" w:rsidP="00375A4B">
            <w:pPr>
              <w:pStyle w:val="af"/>
              <w:spacing w:after="80"/>
              <w:ind w:left="708"/>
              <w:jc w:val="both"/>
              <w:rPr>
                <w:rFonts w:cs="Calibri"/>
                <w:sz w:val="26"/>
                <w:szCs w:val="26"/>
              </w:rPr>
            </w:pPr>
            <w:hyperlink r:id="rId17" w:history="1">
              <w:r w:rsidR="003E198A" w:rsidRPr="00D1550C">
                <w:rPr>
                  <w:rStyle w:val="af0"/>
                  <w:rFonts w:cs="Calibri"/>
                  <w:sz w:val="26"/>
                  <w:szCs w:val="26"/>
                </w:rPr>
                <w:t>z.irgashev@cbu.uz</w:t>
              </w:r>
            </w:hyperlink>
          </w:p>
          <w:p w:rsidR="00375A4B" w:rsidRPr="00D1550C" w:rsidRDefault="00375A4B" w:rsidP="00375A4B">
            <w:pPr>
              <w:pStyle w:val="af"/>
              <w:spacing w:after="80"/>
              <w:ind w:left="0"/>
              <w:jc w:val="both"/>
              <w:rPr>
                <w:rFonts w:cs="Calibri"/>
                <w:sz w:val="26"/>
                <w:szCs w:val="26"/>
              </w:rPr>
            </w:pPr>
          </w:p>
        </w:tc>
        <w:tc>
          <w:tcPr>
            <w:tcW w:w="4903" w:type="dxa"/>
            <w:shd w:val="clear" w:color="auto" w:fill="auto"/>
          </w:tcPr>
          <w:p w:rsidR="00375A4B" w:rsidRPr="00D1550C" w:rsidRDefault="003E198A" w:rsidP="00375A4B">
            <w:pPr>
              <w:pStyle w:val="af"/>
              <w:tabs>
                <w:tab w:val="left" w:pos="2552"/>
              </w:tabs>
              <w:spacing w:before="120" w:after="80"/>
              <w:ind w:left="0"/>
              <w:rPr>
                <w:rFonts w:cs="Calibri"/>
                <w:sz w:val="26"/>
                <w:szCs w:val="26"/>
              </w:rPr>
            </w:pPr>
            <w:r w:rsidRPr="00D1550C">
              <w:rPr>
                <w:rFonts w:cs="Calibri"/>
                <w:sz w:val="26"/>
                <w:szCs w:val="26"/>
              </w:rPr>
              <w:t>Z</w:t>
            </w:r>
            <w:r w:rsidR="00375A4B" w:rsidRPr="00D1550C">
              <w:rPr>
                <w:rFonts w:cs="Calibri"/>
                <w:sz w:val="26"/>
                <w:szCs w:val="26"/>
              </w:rPr>
              <w:t>. </w:t>
            </w:r>
            <w:r w:rsidRPr="00D1550C">
              <w:rPr>
                <w:rFonts w:cs="Calibri"/>
                <w:sz w:val="26"/>
                <w:szCs w:val="26"/>
              </w:rPr>
              <w:t>Irgashev</w:t>
            </w:r>
            <w:r w:rsidR="00375A4B" w:rsidRPr="00D1550C">
              <w:rPr>
                <w:rFonts w:cs="Calibri"/>
                <w:sz w:val="26"/>
                <w:szCs w:val="26"/>
              </w:rPr>
              <w:t xml:space="preserve"> </w:t>
            </w:r>
          </w:p>
          <w:p w:rsidR="00375A4B" w:rsidRPr="00D1550C" w:rsidRDefault="008C61C6" w:rsidP="00375A4B">
            <w:pPr>
              <w:pStyle w:val="af"/>
              <w:tabs>
                <w:tab w:val="left" w:pos="2552"/>
              </w:tabs>
              <w:spacing w:after="80"/>
              <w:ind w:left="0"/>
              <w:rPr>
                <w:rFonts w:cs="Calibri"/>
                <w:sz w:val="26"/>
                <w:szCs w:val="26"/>
              </w:rPr>
            </w:pPr>
            <w:r w:rsidRPr="00D1550C">
              <w:rPr>
                <w:rFonts w:cs="Calibri"/>
                <w:sz w:val="26"/>
                <w:szCs w:val="26"/>
              </w:rPr>
              <w:t xml:space="preserve">Deputy </w:t>
            </w:r>
            <w:r w:rsidR="00375A4B" w:rsidRPr="00D1550C">
              <w:rPr>
                <w:rFonts w:cs="Calibri"/>
                <w:sz w:val="26"/>
                <w:szCs w:val="26"/>
              </w:rPr>
              <w:t>Head of Balance of Payments Division</w:t>
            </w:r>
          </w:p>
        </w:tc>
      </w:tr>
    </w:tbl>
    <w:p w:rsidR="00390DE5" w:rsidRPr="00D1550C" w:rsidRDefault="00390DE5" w:rsidP="00020662">
      <w:pPr>
        <w:spacing w:before="120" w:line="360" w:lineRule="auto"/>
        <w:ind w:firstLine="709"/>
        <w:jc w:val="both"/>
        <w:rPr>
          <w:rFonts w:cs="Calibri"/>
          <w:sz w:val="26"/>
          <w:szCs w:val="26"/>
        </w:rPr>
      </w:pPr>
      <w:r w:rsidRPr="00D1550C">
        <w:rPr>
          <w:rFonts w:cs="Calibri"/>
          <w:sz w:val="26"/>
          <w:szCs w:val="26"/>
        </w:rPr>
        <w:t xml:space="preserve">Any questions and proposals can also be sent to e-mail address </w:t>
      </w:r>
      <w:hyperlink r:id="rId18" w:history="1">
        <w:r w:rsidRPr="00D1550C">
          <w:rPr>
            <w:rFonts w:cs="Calibri"/>
            <w:color w:val="2E74B5"/>
            <w:sz w:val="26"/>
            <w:szCs w:val="26"/>
            <w:u w:val="single"/>
          </w:rPr>
          <w:t>val@cbu.uz</w:t>
        </w:r>
      </w:hyperlink>
      <w:r w:rsidRPr="00D1550C">
        <w:rPr>
          <w:rFonts w:cs="Calibri"/>
          <w:color w:val="2E74B5"/>
          <w:sz w:val="26"/>
          <w:szCs w:val="26"/>
          <w:u w:val="single"/>
        </w:rPr>
        <w:t>.</w:t>
      </w:r>
    </w:p>
    <w:p w:rsidR="00390DE5" w:rsidRPr="00D1550C" w:rsidRDefault="00390DE5" w:rsidP="00020662">
      <w:pPr>
        <w:spacing w:before="120" w:line="360" w:lineRule="auto"/>
        <w:ind w:firstLine="709"/>
        <w:jc w:val="both"/>
        <w:rPr>
          <w:rFonts w:cs="Calibri"/>
          <w:sz w:val="26"/>
          <w:szCs w:val="26"/>
        </w:rPr>
      </w:pPr>
      <w:r w:rsidRPr="00D1550C">
        <w:rPr>
          <w:rFonts w:cs="Calibri"/>
          <w:sz w:val="26"/>
          <w:szCs w:val="26"/>
        </w:rPr>
        <w:t xml:space="preserve">The publication is published quarterly following the reporting quarter </w:t>
      </w:r>
      <w:r w:rsidR="000E48FD" w:rsidRPr="00D1550C">
        <w:rPr>
          <w:rFonts w:cs="Calibri"/>
          <w:sz w:val="26"/>
          <w:szCs w:val="26"/>
        </w:rPr>
        <w:br/>
      </w:r>
      <w:r w:rsidRPr="00D1550C">
        <w:rPr>
          <w:rFonts w:cs="Calibri"/>
          <w:sz w:val="26"/>
          <w:szCs w:val="26"/>
        </w:rPr>
        <w:t xml:space="preserve">and available in Uzbek, Russian and English. </w:t>
      </w:r>
    </w:p>
    <w:p w:rsidR="00201559" w:rsidRPr="00D1550C" w:rsidRDefault="00390DE5" w:rsidP="00A26C29">
      <w:pPr>
        <w:spacing w:before="120" w:line="360" w:lineRule="auto"/>
        <w:ind w:firstLine="709"/>
        <w:jc w:val="both"/>
        <w:rPr>
          <w:rFonts w:cs="Calibri"/>
          <w:sz w:val="26"/>
          <w:szCs w:val="26"/>
        </w:rPr>
      </w:pPr>
      <w:r w:rsidRPr="00D1550C">
        <w:rPr>
          <w:rFonts w:cs="Calibri"/>
          <w:sz w:val="26"/>
          <w:szCs w:val="26"/>
        </w:rPr>
        <w:t xml:space="preserve">The Central Bank </w:t>
      </w:r>
      <w:r w:rsidRPr="00D1550C">
        <w:rPr>
          <w:rFonts w:cs="Calibri"/>
          <w:b/>
          <w:sz w:val="26"/>
          <w:szCs w:val="26"/>
        </w:rPr>
        <w:t>expresses its gratitude</w:t>
      </w:r>
      <w:r w:rsidRPr="00D1550C">
        <w:rPr>
          <w:rFonts w:cs="Calibri"/>
          <w:sz w:val="26"/>
          <w:szCs w:val="26"/>
        </w:rPr>
        <w:t xml:space="preserve"> to ministries, agencies, </w:t>
      </w:r>
      <w:r w:rsidR="000E48FD" w:rsidRPr="00D1550C">
        <w:rPr>
          <w:rFonts w:cs="Calibri"/>
          <w:sz w:val="26"/>
          <w:szCs w:val="26"/>
        </w:rPr>
        <w:br/>
      </w:r>
      <w:r w:rsidRPr="00D1550C">
        <w:rPr>
          <w:rFonts w:cs="Calibri"/>
          <w:sz w:val="26"/>
          <w:szCs w:val="26"/>
        </w:rPr>
        <w:t xml:space="preserve">and organizations for cooperation in providing information for preparation </w:t>
      </w:r>
      <w:r w:rsidR="009B7624" w:rsidRPr="00D1550C">
        <w:rPr>
          <w:rFonts w:cs="Calibri"/>
          <w:sz w:val="26"/>
          <w:szCs w:val="26"/>
        </w:rPr>
        <w:t xml:space="preserve">of reports </w:t>
      </w:r>
      <w:r w:rsidR="00D340EB" w:rsidRPr="00D1550C">
        <w:rPr>
          <w:rFonts w:cs="Calibri"/>
          <w:sz w:val="26"/>
          <w:szCs w:val="26"/>
        </w:rPr>
        <w:br/>
      </w:r>
      <w:r w:rsidR="009B7624" w:rsidRPr="00D1550C">
        <w:rPr>
          <w:rFonts w:cs="Calibri"/>
          <w:sz w:val="26"/>
          <w:szCs w:val="26"/>
        </w:rPr>
        <w:t>on</w:t>
      </w:r>
      <w:r w:rsidRPr="00D1550C">
        <w:rPr>
          <w:rFonts w:cs="Calibri"/>
          <w:sz w:val="26"/>
          <w:szCs w:val="26"/>
        </w:rPr>
        <w:t xml:space="preserve"> balance of payments, international investment position of the Republic of Uzbekistan </w:t>
      </w:r>
      <w:r w:rsidR="00D340EB" w:rsidRPr="00D1550C">
        <w:rPr>
          <w:rFonts w:cs="Calibri"/>
          <w:sz w:val="26"/>
          <w:szCs w:val="26"/>
        </w:rPr>
        <w:br/>
      </w:r>
      <w:r w:rsidRPr="00D1550C">
        <w:rPr>
          <w:rFonts w:cs="Calibri"/>
          <w:sz w:val="26"/>
          <w:szCs w:val="26"/>
        </w:rPr>
        <w:t>and total external debt and looks forward to further effective cooperation.</w:t>
      </w:r>
    </w:p>
    <w:p w:rsidR="006F0FAC" w:rsidRPr="00D1550C" w:rsidRDefault="004179C1" w:rsidP="00A26C29">
      <w:pPr>
        <w:spacing w:before="120" w:line="360" w:lineRule="auto"/>
        <w:ind w:firstLine="709"/>
        <w:jc w:val="both"/>
        <w:rPr>
          <w:rFonts w:cs="Arial"/>
        </w:rPr>
      </w:pPr>
      <w:r w:rsidRPr="00D1550C">
        <w:rPr>
          <w:rFonts w:cs="Arial"/>
        </w:rPr>
        <w:br w:type="page"/>
      </w:r>
    </w:p>
    <w:p w:rsidR="004179C1" w:rsidRPr="00D1550C" w:rsidRDefault="00864FA4" w:rsidP="008B1CBD">
      <w:pPr>
        <w:spacing w:before="120"/>
        <w:jc w:val="center"/>
        <w:rPr>
          <w:rFonts w:cs="Calibri"/>
          <w:b/>
          <w:sz w:val="28"/>
          <w:szCs w:val="28"/>
        </w:rPr>
      </w:pPr>
      <w:r w:rsidRPr="00D1550C">
        <w:rPr>
          <w:rFonts w:cs="Calibri"/>
          <w:b/>
          <w:sz w:val="28"/>
          <w:szCs w:val="28"/>
        </w:rPr>
        <w:lastRenderedPageBreak/>
        <w:t>TABLE OF CONTENTS</w:t>
      </w:r>
    </w:p>
    <w:p w:rsidR="006F0FAC" w:rsidRPr="00D1550C" w:rsidRDefault="006F0FAC" w:rsidP="00A615E9">
      <w:pPr>
        <w:jc w:val="center"/>
        <w:rPr>
          <w:rFonts w:cs="Calibri"/>
          <w:b/>
        </w:rPr>
      </w:pPr>
    </w:p>
    <w:p w:rsidR="00461B09" w:rsidRDefault="002F409C">
      <w:pPr>
        <w:pStyle w:val="11"/>
        <w:rPr>
          <w:rFonts w:asciiTheme="minorHAnsi" w:eastAsiaTheme="minorEastAsia" w:hAnsiTheme="minorHAnsi" w:cstheme="minorBidi"/>
          <w:lang w:val="ru-RU"/>
        </w:rPr>
      </w:pPr>
      <w:r w:rsidRPr="00D1550C">
        <w:rPr>
          <w:noProof w:val="0"/>
          <w:highlight w:val="yellow"/>
        </w:rPr>
        <w:fldChar w:fldCharType="begin"/>
      </w:r>
      <w:r w:rsidR="004179C1" w:rsidRPr="00D1550C">
        <w:rPr>
          <w:noProof w:val="0"/>
          <w:highlight w:val="yellow"/>
        </w:rPr>
        <w:instrText xml:space="preserve"> TOC \o "1-3" \h \z \u </w:instrText>
      </w:r>
      <w:r w:rsidRPr="00D1550C">
        <w:rPr>
          <w:noProof w:val="0"/>
          <w:highlight w:val="yellow"/>
        </w:rPr>
        <w:fldChar w:fldCharType="separate"/>
      </w:r>
      <w:hyperlink w:anchor="_Toc83291111" w:history="1">
        <w:r w:rsidR="00461B09" w:rsidRPr="005844F2">
          <w:rPr>
            <w:rStyle w:val="af0"/>
          </w:rPr>
          <w:t>ANNOTATION</w:t>
        </w:r>
        <w:r w:rsidR="00461B09">
          <w:rPr>
            <w:webHidden/>
          </w:rPr>
          <w:tab/>
        </w:r>
        <w:r w:rsidR="00461B09">
          <w:rPr>
            <w:webHidden/>
          </w:rPr>
          <w:fldChar w:fldCharType="begin"/>
        </w:r>
        <w:r w:rsidR="00461B09">
          <w:rPr>
            <w:webHidden/>
          </w:rPr>
          <w:instrText xml:space="preserve"> PAGEREF _Toc83291111 \h </w:instrText>
        </w:r>
        <w:r w:rsidR="00461B09">
          <w:rPr>
            <w:webHidden/>
          </w:rPr>
        </w:r>
        <w:r w:rsidR="00461B09">
          <w:rPr>
            <w:webHidden/>
          </w:rPr>
          <w:fldChar w:fldCharType="separate"/>
        </w:r>
        <w:r w:rsidR="001444AD">
          <w:rPr>
            <w:webHidden/>
          </w:rPr>
          <w:t>5</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12" w:history="1">
        <w:r w:rsidR="00461B09" w:rsidRPr="005844F2">
          <w:rPr>
            <w:rStyle w:val="af0"/>
          </w:rPr>
          <w:t>I. BALANCE OF PAYMENTS OF THE REPUBLIC OF UZBEKISTAN</w:t>
        </w:r>
        <w:r w:rsidR="00461B09">
          <w:rPr>
            <w:webHidden/>
          </w:rPr>
          <w:tab/>
        </w:r>
        <w:r w:rsidR="00461B09">
          <w:rPr>
            <w:webHidden/>
          </w:rPr>
          <w:fldChar w:fldCharType="begin"/>
        </w:r>
        <w:r w:rsidR="00461B09">
          <w:rPr>
            <w:webHidden/>
          </w:rPr>
          <w:instrText xml:space="preserve"> PAGEREF _Toc83291112 \h </w:instrText>
        </w:r>
        <w:r w:rsidR="00461B09">
          <w:rPr>
            <w:webHidden/>
          </w:rPr>
        </w:r>
        <w:r w:rsidR="00461B09">
          <w:rPr>
            <w:webHidden/>
          </w:rPr>
          <w:fldChar w:fldCharType="separate"/>
        </w:r>
        <w:r>
          <w:rPr>
            <w:webHidden/>
          </w:rPr>
          <w:t>6</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13" w:history="1">
        <w:r w:rsidR="00461B09" w:rsidRPr="005844F2">
          <w:rPr>
            <w:rStyle w:val="af0"/>
          </w:rPr>
          <w:t>CURRENT ACCOUNT</w:t>
        </w:r>
        <w:r w:rsidR="00461B09">
          <w:rPr>
            <w:webHidden/>
          </w:rPr>
          <w:tab/>
        </w:r>
        <w:r w:rsidR="00461B09">
          <w:rPr>
            <w:webHidden/>
          </w:rPr>
          <w:fldChar w:fldCharType="begin"/>
        </w:r>
        <w:r w:rsidR="00461B09">
          <w:rPr>
            <w:webHidden/>
          </w:rPr>
          <w:instrText xml:space="preserve"> PAGEREF _Toc83291113 \h </w:instrText>
        </w:r>
        <w:r w:rsidR="00461B09">
          <w:rPr>
            <w:webHidden/>
          </w:rPr>
        </w:r>
        <w:r w:rsidR="00461B09">
          <w:rPr>
            <w:webHidden/>
          </w:rPr>
          <w:fldChar w:fldCharType="separate"/>
        </w:r>
        <w:r>
          <w:rPr>
            <w:webHidden/>
          </w:rPr>
          <w:t>6</w:t>
        </w:r>
        <w:r w:rsidR="00461B09">
          <w:rPr>
            <w:webHidden/>
          </w:rPr>
          <w:fldChar w:fldCharType="end"/>
        </w:r>
      </w:hyperlink>
    </w:p>
    <w:p w:rsidR="00461B09" w:rsidRDefault="001444AD">
      <w:pPr>
        <w:pStyle w:val="23"/>
        <w:rPr>
          <w:rFonts w:asciiTheme="minorHAnsi" w:eastAsiaTheme="minorEastAsia" w:hAnsiTheme="minorHAnsi" w:cstheme="minorBidi"/>
          <w:noProof/>
          <w:sz w:val="22"/>
          <w:szCs w:val="22"/>
          <w:lang w:val="ru-RU"/>
        </w:rPr>
      </w:pPr>
      <w:hyperlink w:anchor="_Toc83291114" w:history="1">
        <w:r w:rsidR="00461B09" w:rsidRPr="005844F2">
          <w:rPr>
            <w:rStyle w:val="af0"/>
            <w:noProof/>
          </w:rPr>
          <w:t>GOODS</w:t>
        </w:r>
        <w:r w:rsidR="00461B09">
          <w:rPr>
            <w:noProof/>
            <w:webHidden/>
          </w:rPr>
          <w:tab/>
        </w:r>
        <w:r w:rsidR="00461B09">
          <w:rPr>
            <w:noProof/>
            <w:webHidden/>
          </w:rPr>
          <w:fldChar w:fldCharType="begin"/>
        </w:r>
        <w:r w:rsidR="00461B09">
          <w:rPr>
            <w:noProof/>
            <w:webHidden/>
          </w:rPr>
          <w:instrText xml:space="preserve"> PAGEREF _Toc83291114 \h </w:instrText>
        </w:r>
        <w:r w:rsidR="00461B09">
          <w:rPr>
            <w:noProof/>
            <w:webHidden/>
          </w:rPr>
        </w:r>
        <w:r w:rsidR="00461B09">
          <w:rPr>
            <w:noProof/>
            <w:webHidden/>
          </w:rPr>
          <w:fldChar w:fldCharType="separate"/>
        </w:r>
        <w:r>
          <w:rPr>
            <w:noProof/>
            <w:webHidden/>
          </w:rPr>
          <w:t>8</w:t>
        </w:r>
        <w:r w:rsidR="00461B09">
          <w:rPr>
            <w:noProof/>
            <w:webHidden/>
          </w:rPr>
          <w:fldChar w:fldCharType="end"/>
        </w:r>
      </w:hyperlink>
    </w:p>
    <w:p w:rsidR="00461B09" w:rsidRDefault="001444AD">
      <w:pPr>
        <w:pStyle w:val="23"/>
        <w:rPr>
          <w:rFonts w:asciiTheme="minorHAnsi" w:eastAsiaTheme="minorEastAsia" w:hAnsiTheme="minorHAnsi" w:cstheme="minorBidi"/>
          <w:noProof/>
          <w:sz w:val="22"/>
          <w:szCs w:val="22"/>
          <w:lang w:val="ru-RU"/>
        </w:rPr>
      </w:pPr>
      <w:hyperlink w:anchor="_Toc83291115" w:history="1">
        <w:r w:rsidR="00461B09" w:rsidRPr="005844F2">
          <w:rPr>
            <w:rStyle w:val="af0"/>
            <w:noProof/>
          </w:rPr>
          <w:t>SERVICES</w:t>
        </w:r>
        <w:r w:rsidR="00461B09">
          <w:rPr>
            <w:noProof/>
            <w:webHidden/>
          </w:rPr>
          <w:tab/>
        </w:r>
        <w:r w:rsidR="00461B09">
          <w:rPr>
            <w:noProof/>
            <w:webHidden/>
          </w:rPr>
          <w:fldChar w:fldCharType="begin"/>
        </w:r>
        <w:r w:rsidR="00461B09">
          <w:rPr>
            <w:noProof/>
            <w:webHidden/>
          </w:rPr>
          <w:instrText xml:space="preserve"> PAGEREF _Toc83291115 \h </w:instrText>
        </w:r>
        <w:r w:rsidR="00461B09">
          <w:rPr>
            <w:noProof/>
            <w:webHidden/>
          </w:rPr>
        </w:r>
        <w:r w:rsidR="00461B09">
          <w:rPr>
            <w:noProof/>
            <w:webHidden/>
          </w:rPr>
          <w:fldChar w:fldCharType="separate"/>
        </w:r>
        <w:r>
          <w:rPr>
            <w:noProof/>
            <w:webHidden/>
          </w:rPr>
          <w:t>13</w:t>
        </w:r>
        <w:r w:rsidR="00461B09">
          <w:rPr>
            <w:noProof/>
            <w:webHidden/>
          </w:rPr>
          <w:fldChar w:fldCharType="end"/>
        </w:r>
      </w:hyperlink>
    </w:p>
    <w:p w:rsidR="00461B09" w:rsidRDefault="001444AD">
      <w:pPr>
        <w:pStyle w:val="23"/>
        <w:rPr>
          <w:rFonts w:asciiTheme="minorHAnsi" w:eastAsiaTheme="minorEastAsia" w:hAnsiTheme="minorHAnsi" w:cstheme="minorBidi"/>
          <w:noProof/>
          <w:sz w:val="22"/>
          <w:szCs w:val="22"/>
          <w:lang w:val="ru-RU"/>
        </w:rPr>
      </w:pPr>
      <w:hyperlink w:anchor="_Toc83291116" w:history="1">
        <w:r w:rsidR="00461B09" w:rsidRPr="005844F2">
          <w:rPr>
            <w:rStyle w:val="af0"/>
            <w:noProof/>
          </w:rPr>
          <w:t>PRIMARY INCOME</w:t>
        </w:r>
        <w:r w:rsidR="00461B09">
          <w:rPr>
            <w:noProof/>
            <w:webHidden/>
          </w:rPr>
          <w:tab/>
        </w:r>
        <w:r w:rsidR="00461B09">
          <w:rPr>
            <w:noProof/>
            <w:webHidden/>
          </w:rPr>
          <w:fldChar w:fldCharType="begin"/>
        </w:r>
        <w:r w:rsidR="00461B09">
          <w:rPr>
            <w:noProof/>
            <w:webHidden/>
          </w:rPr>
          <w:instrText xml:space="preserve"> PAGEREF _Toc83291116 \h </w:instrText>
        </w:r>
        <w:r w:rsidR="00461B09">
          <w:rPr>
            <w:noProof/>
            <w:webHidden/>
          </w:rPr>
        </w:r>
        <w:r w:rsidR="00461B09">
          <w:rPr>
            <w:noProof/>
            <w:webHidden/>
          </w:rPr>
          <w:fldChar w:fldCharType="separate"/>
        </w:r>
        <w:r>
          <w:rPr>
            <w:noProof/>
            <w:webHidden/>
          </w:rPr>
          <w:t>15</w:t>
        </w:r>
        <w:r w:rsidR="00461B09">
          <w:rPr>
            <w:noProof/>
            <w:webHidden/>
          </w:rPr>
          <w:fldChar w:fldCharType="end"/>
        </w:r>
      </w:hyperlink>
    </w:p>
    <w:p w:rsidR="00461B09" w:rsidRDefault="001444AD">
      <w:pPr>
        <w:pStyle w:val="23"/>
        <w:rPr>
          <w:rFonts w:asciiTheme="minorHAnsi" w:eastAsiaTheme="minorEastAsia" w:hAnsiTheme="minorHAnsi" w:cstheme="minorBidi"/>
          <w:noProof/>
          <w:sz w:val="22"/>
          <w:szCs w:val="22"/>
          <w:lang w:val="ru-RU"/>
        </w:rPr>
      </w:pPr>
      <w:hyperlink w:anchor="_Toc83291117" w:history="1">
        <w:r w:rsidR="00461B09" w:rsidRPr="005844F2">
          <w:rPr>
            <w:rStyle w:val="af0"/>
            <w:noProof/>
          </w:rPr>
          <w:t>SECONDARY INCOME</w:t>
        </w:r>
        <w:r w:rsidR="00461B09">
          <w:rPr>
            <w:noProof/>
            <w:webHidden/>
          </w:rPr>
          <w:tab/>
        </w:r>
        <w:r w:rsidR="00461B09">
          <w:rPr>
            <w:noProof/>
            <w:webHidden/>
          </w:rPr>
          <w:fldChar w:fldCharType="begin"/>
        </w:r>
        <w:r w:rsidR="00461B09">
          <w:rPr>
            <w:noProof/>
            <w:webHidden/>
          </w:rPr>
          <w:instrText xml:space="preserve"> PAGEREF _Toc83291117 \h </w:instrText>
        </w:r>
        <w:r w:rsidR="00461B09">
          <w:rPr>
            <w:noProof/>
            <w:webHidden/>
          </w:rPr>
        </w:r>
        <w:r w:rsidR="00461B09">
          <w:rPr>
            <w:noProof/>
            <w:webHidden/>
          </w:rPr>
          <w:fldChar w:fldCharType="separate"/>
        </w:r>
        <w:r>
          <w:rPr>
            <w:noProof/>
            <w:webHidden/>
          </w:rPr>
          <w:t>16</w:t>
        </w:r>
        <w:r w:rsidR="00461B09">
          <w:rPr>
            <w:noProof/>
            <w:webHidden/>
          </w:rPr>
          <w:fldChar w:fldCharType="end"/>
        </w:r>
      </w:hyperlink>
    </w:p>
    <w:p w:rsidR="00461B09" w:rsidRDefault="001444AD">
      <w:pPr>
        <w:pStyle w:val="11"/>
        <w:rPr>
          <w:rFonts w:asciiTheme="minorHAnsi" w:eastAsiaTheme="minorEastAsia" w:hAnsiTheme="minorHAnsi" w:cstheme="minorBidi"/>
          <w:lang w:val="ru-RU"/>
        </w:rPr>
      </w:pPr>
      <w:hyperlink w:anchor="_Toc83291118" w:history="1">
        <w:r w:rsidR="00461B09" w:rsidRPr="005844F2">
          <w:rPr>
            <w:rStyle w:val="af0"/>
          </w:rPr>
          <w:t>CAPITAL ACCOUNT</w:t>
        </w:r>
        <w:r w:rsidR="00461B09">
          <w:rPr>
            <w:webHidden/>
          </w:rPr>
          <w:tab/>
        </w:r>
        <w:r w:rsidR="00461B09">
          <w:rPr>
            <w:webHidden/>
          </w:rPr>
          <w:fldChar w:fldCharType="begin"/>
        </w:r>
        <w:r w:rsidR="00461B09">
          <w:rPr>
            <w:webHidden/>
          </w:rPr>
          <w:instrText xml:space="preserve"> PAGEREF _Toc83291118 \h </w:instrText>
        </w:r>
        <w:r w:rsidR="00461B09">
          <w:rPr>
            <w:webHidden/>
          </w:rPr>
        </w:r>
        <w:r w:rsidR="00461B09">
          <w:rPr>
            <w:webHidden/>
          </w:rPr>
          <w:fldChar w:fldCharType="separate"/>
        </w:r>
        <w:r>
          <w:rPr>
            <w:webHidden/>
          </w:rPr>
          <w:t>18</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19" w:history="1">
        <w:r w:rsidR="00461B09" w:rsidRPr="005844F2">
          <w:rPr>
            <w:rStyle w:val="af0"/>
          </w:rPr>
          <w:t>FINANCIAL ACCOUNT</w:t>
        </w:r>
        <w:r w:rsidR="00461B09">
          <w:rPr>
            <w:webHidden/>
          </w:rPr>
          <w:tab/>
        </w:r>
        <w:r w:rsidR="00461B09">
          <w:rPr>
            <w:webHidden/>
          </w:rPr>
          <w:fldChar w:fldCharType="begin"/>
        </w:r>
        <w:r w:rsidR="00461B09">
          <w:rPr>
            <w:webHidden/>
          </w:rPr>
          <w:instrText xml:space="preserve"> PAGEREF _Toc83291119 \h </w:instrText>
        </w:r>
        <w:r w:rsidR="00461B09">
          <w:rPr>
            <w:webHidden/>
          </w:rPr>
        </w:r>
        <w:r w:rsidR="00461B09">
          <w:rPr>
            <w:webHidden/>
          </w:rPr>
          <w:fldChar w:fldCharType="separate"/>
        </w:r>
        <w:r>
          <w:rPr>
            <w:webHidden/>
          </w:rPr>
          <w:t>19</w:t>
        </w:r>
        <w:r w:rsidR="00461B09">
          <w:rPr>
            <w:webHidden/>
          </w:rPr>
          <w:fldChar w:fldCharType="end"/>
        </w:r>
      </w:hyperlink>
    </w:p>
    <w:p w:rsidR="00461B09" w:rsidRDefault="001444AD">
      <w:pPr>
        <w:pStyle w:val="23"/>
        <w:rPr>
          <w:rFonts w:asciiTheme="minorHAnsi" w:eastAsiaTheme="minorEastAsia" w:hAnsiTheme="minorHAnsi" w:cstheme="minorBidi"/>
          <w:noProof/>
          <w:sz w:val="22"/>
          <w:szCs w:val="22"/>
          <w:lang w:val="ru-RU"/>
        </w:rPr>
      </w:pPr>
      <w:hyperlink w:anchor="_Toc83291120" w:history="1">
        <w:r w:rsidR="00461B09" w:rsidRPr="005844F2">
          <w:rPr>
            <w:rStyle w:val="af0"/>
            <w:noProof/>
          </w:rPr>
          <w:t>DIRECT AND PORTFOLIO INVESTMENT</w:t>
        </w:r>
        <w:r w:rsidR="00461B09">
          <w:rPr>
            <w:noProof/>
            <w:webHidden/>
          </w:rPr>
          <w:tab/>
        </w:r>
        <w:r w:rsidR="00461B09">
          <w:rPr>
            <w:noProof/>
            <w:webHidden/>
          </w:rPr>
          <w:fldChar w:fldCharType="begin"/>
        </w:r>
        <w:r w:rsidR="00461B09">
          <w:rPr>
            <w:noProof/>
            <w:webHidden/>
          </w:rPr>
          <w:instrText xml:space="preserve"> PAGEREF _Toc83291120 \h </w:instrText>
        </w:r>
        <w:r w:rsidR="00461B09">
          <w:rPr>
            <w:noProof/>
            <w:webHidden/>
          </w:rPr>
        </w:r>
        <w:r w:rsidR="00461B09">
          <w:rPr>
            <w:noProof/>
            <w:webHidden/>
          </w:rPr>
          <w:fldChar w:fldCharType="separate"/>
        </w:r>
        <w:r>
          <w:rPr>
            <w:noProof/>
            <w:webHidden/>
          </w:rPr>
          <w:t>20</w:t>
        </w:r>
        <w:r w:rsidR="00461B09">
          <w:rPr>
            <w:noProof/>
            <w:webHidden/>
          </w:rPr>
          <w:fldChar w:fldCharType="end"/>
        </w:r>
      </w:hyperlink>
    </w:p>
    <w:p w:rsidR="00461B09" w:rsidRDefault="001444AD">
      <w:pPr>
        <w:pStyle w:val="23"/>
        <w:rPr>
          <w:rFonts w:asciiTheme="minorHAnsi" w:eastAsiaTheme="minorEastAsia" w:hAnsiTheme="minorHAnsi" w:cstheme="minorBidi"/>
          <w:noProof/>
          <w:sz w:val="22"/>
          <w:szCs w:val="22"/>
          <w:lang w:val="ru-RU"/>
        </w:rPr>
      </w:pPr>
      <w:hyperlink w:anchor="_Toc83291121" w:history="1">
        <w:r w:rsidR="00461B09" w:rsidRPr="005844F2">
          <w:rPr>
            <w:rStyle w:val="af0"/>
            <w:noProof/>
          </w:rPr>
          <w:t>OTHER INVESTMENTS</w:t>
        </w:r>
        <w:r w:rsidR="00461B09">
          <w:rPr>
            <w:noProof/>
            <w:webHidden/>
          </w:rPr>
          <w:tab/>
        </w:r>
        <w:r w:rsidR="00461B09">
          <w:rPr>
            <w:noProof/>
            <w:webHidden/>
          </w:rPr>
          <w:fldChar w:fldCharType="begin"/>
        </w:r>
        <w:r w:rsidR="00461B09">
          <w:rPr>
            <w:noProof/>
            <w:webHidden/>
          </w:rPr>
          <w:instrText xml:space="preserve"> PAGEREF _Toc83291121 \h </w:instrText>
        </w:r>
        <w:r w:rsidR="00461B09">
          <w:rPr>
            <w:noProof/>
            <w:webHidden/>
          </w:rPr>
        </w:r>
        <w:r w:rsidR="00461B09">
          <w:rPr>
            <w:noProof/>
            <w:webHidden/>
          </w:rPr>
          <w:fldChar w:fldCharType="separate"/>
        </w:r>
        <w:r>
          <w:rPr>
            <w:noProof/>
            <w:webHidden/>
          </w:rPr>
          <w:t>21</w:t>
        </w:r>
        <w:r w:rsidR="00461B09">
          <w:rPr>
            <w:noProof/>
            <w:webHidden/>
          </w:rPr>
          <w:fldChar w:fldCharType="end"/>
        </w:r>
      </w:hyperlink>
    </w:p>
    <w:p w:rsidR="00461B09" w:rsidRDefault="001444AD">
      <w:pPr>
        <w:pStyle w:val="11"/>
        <w:rPr>
          <w:rFonts w:asciiTheme="minorHAnsi" w:eastAsiaTheme="minorEastAsia" w:hAnsiTheme="minorHAnsi" w:cstheme="minorBidi"/>
          <w:lang w:val="ru-RU"/>
        </w:rPr>
      </w:pPr>
      <w:hyperlink w:anchor="_Toc83291122" w:history="1">
        <w:r w:rsidR="00461B09" w:rsidRPr="005844F2">
          <w:rPr>
            <w:rStyle w:val="af0"/>
          </w:rPr>
          <w:t>II. INTERNATIONAL INVESTMENT POSITION OF THE REPUBLIC OF UZBEKISTAN</w:t>
        </w:r>
        <w:r w:rsidR="00461B09">
          <w:rPr>
            <w:webHidden/>
          </w:rPr>
          <w:tab/>
        </w:r>
        <w:r w:rsidR="00461B09">
          <w:rPr>
            <w:webHidden/>
          </w:rPr>
          <w:fldChar w:fldCharType="begin"/>
        </w:r>
        <w:r w:rsidR="00461B09">
          <w:rPr>
            <w:webHidden/>
          </w:rPr>
          <w:instrText xml:space="preserve"> PAGEREF _Toc83291122 \h </w:instrText>
        </w:r>
        <w:r w:rsidR="00461B09">
          <w:rPr>
            <w:webHidden/>
          </w:rPr>
        </w:r>
        <w:r w:rsidR="00461B09">
          <w:rPr>
            <w:webHidden/>
          </w:rPr>
          <w:fldChar w:fldCharType="separate"/>
        </w:r>
        <w:r>
          <w:rPr>
            <w:webHidden/>
          </w:rPr>
          <w:t>25</w:t>
        </w:r>
        <w:r w:rsidR="00461B09">
          <w:rPr>
            <w:webHidden/>
          </w:rPr>
          <w:fldChar w:fldCharType="end"/>
        </w:r>
      </w:hyperlink>
    </w:p>
    <w:p w:rsidR="00461B09" w:rsidRDefault="001444AD">
      <w:pPr>
        <w:pStyle w:val="23"/>
        <w:rPr>
          <w:rFonts w:asciiTheme="minorHAnsi" w:eastAsiaTheme="minorEastAsia" w:hAnsiTheme="minorHAnsi" w:cstheme="minorBidi"/>
          <w:noProof/>
          <w:sz w:val="22"/>
          <w:szCs w:val="22"/>
          <w:lang w:val="ru-RU"/>
        </w:rPr>
      </w:pPr>
      <w:hyperlink w:anchor="_Toc83291123" w:history="1">
        <w:r w:rsidR="00461B09" w:rsidRPr="005844F2">
          <w:rPr>
            <w:rStyle w:val="af0"/>
            <w:rFonts w:cs="Calibri"/>
            <w:noProof/>
          </w:rPr>
          <w:t>GENERAL GOVERNMENT</w:t>
        </w:r>
        <w:r w:rsidR="00461B09">
          <w:rPr>
            <w:noProof/>
            <w:webHidden/>
          </w:rPr>
          <w:tab/>
        </w:r>
        <w:r w:rsidR="00461B09">
          <w:rPr>
            <w:noProof/>
            <w:webHidden/>
          </w:rPr>
          <w:fldChar w:fldCharType="begin"/>
        </w:r>
        <w:r w:rsidR="00461B09">
          <w:rPr>
            <w:noProof/>
            <w:webHidden/>
          </w:rPr>
          <w:instrText xml:space="preserve"> PAGEREF _Toc83291123 \h </w:instrText>
        </w:r>
        <w:r w:rsidR="00461B09">
          <w:rPr>
            <w:noProof/>
            <w:webHidden/>
          </w:rPr>
        </w:r>
        <w:r w:rsidR="00461B09">
          <w:rPr>
            <w:noProof/>
            <w:webHidden/>
          </w:rPr>
          <w:fldChar w:fldCharType="separate"/>
        </w:r>
        <w:r>
          <w:rPr>
            <w:noProof/>
            <w:webHidden/>
          </w:rPr>
          <w:t>26</w:t>
        </w:r>
        <w:r w:rsidR="00461B09">
          <w:rPr>
            <w:noProof/>
            <w:webHidden/>
          </w:rPr>
          <w:fldChar w:fldCharType="end"/>
        </w:r>
      </w:hyperlink>
    </w:p>
    <w:p w:rsidR="00461B09" w:rsidRDefault="001444AD">
      <w:pPr>
        <w:pStyle w:val="23"/>
        <w:rPr>
          <w:rFonts w:asciiTheme="minorHAnsi" w:eastAsiaTheme="minorEastAsia" w:hAnsiTheme="minorHAnsi" w:cstheme="minorBidi"/>
          <w:noProof/>
          <w:sz w:val="22"/>
          <w:szCs w:val="22"/>
          <w:lang w:val="ru-RU"/>
        </w:rPr>
      </w:pPr>
      <w:hyperlink w:anchor="_Toc83291124" w:history="1">
        <w:r w:rsidR="00461B09" w:rsidRPr="005844F2">
          <w:rPr>
            <w:rStyle w:val="af0"/>
            <w:rFonts w:cs="Calibri"/>
            <w:noProof/>
          </w:rPr>
          <w:t>BANKING SECTOR</w:t>
        </w:r>
        <w:r w:rsidR="00461B09">
          <w:rPr>
            <w:noProof/>
            <w:webHidden/>
          </w:rPr>
          <w:tab/>
        </w:r>
        <w:r w:rsidR="00461B09">
          <w:rPr>
            <w:noProof/>
            <w:webHidden/>
          </w:rPr>
          <w:fldChar w:fldCharType="begin"/>
        </w:r>
        <w:r w:rsidR="00461B09">
          <w:rPr>
            <w:noProof/>
            <w:webHidden/>
          </w:rPr>
          <w:instrText xml:space="preserve"> PAGEREF _Toc83291124 \h </w:instrText>
        </w:r>
        <w:r w:rsidR="00461B09">
          <w:rPr>
            <w:noProof/>
            <w:webHidden/>
          </w:rPr>
        </w:r>
        <w:r w:rsidR="00461B09">
          <w:rPr>
            <w:noProof/>
            <w:webHidden/>
          </w:rPr>
          <w:fldChar w:fldCharType="separate"/>
        </w:r>
        <w:r>
          <w:rPr>
            <w:noProof/>
            <w:webHidden/>
          </w:rPr>
          <w:t>27</w:t>
        </w:r>
        <w:r w:rsidR="00461B09">
          <w:rPr>
            <w:noProof/>
            <w:webHidden/>
          </w:rPr>
          <w:fldChar w:fldCharType="end"/>
        </w:r>
      </w:hyperlink>
    </w:p>
    <w:p w:rsidR="00461B09" w:rsidRDefault="001444AD">
      <w:pPr>
        <w:pStyle w:val="23"/>
        <w:rPr>
          <w:rFonts w:asciiTheme="minorHAnsi" w:eastAsiaTheme="minorEastAsia" w:hAnsiTheme="minorHAnsi" w:cstheme="minorBidi"/>
          <w:noProof/>
          <w:sz w:val="22"/>
          <w:szCs w:val="22"/>
          <w:lang w:val="ru-RU"/>
        </w:rPr>
      </w:pPr>
      <w:hyperlink w:anchor="_Toc83291125" w:history="1">
        <w:r w:rsidR="00461B09" w:rsidRPr="005844F2">
          <w:rPr>
            <w:rStyle w:val="af0"/>
            <w:rFonts w:cs="Calibri"/>
            <w:noProof/>
          </w:rPr>
          <w:t>OTHER SECTORS</w:t>
        </w:r>
        <w:r w:rsidR="00461B09">
          <w:rPr>
            <w:noProof/>
            <w:webHidden/>
          </w:rPr>
          <w:tab/>
        </w:r>
        <w:r w:rsidR="00461B09">
          <w:rPr>
            <w:noProof/>
            <w:webHidden/>
          </w:rPr>
          <w:fldChar w:fldCharType="begin"/>
        </w:r>
        <w:r w:rsidR="00461B09">
          <w:rPr>
            <w:noProof/>
            <w:webHidden/>
          </w:rPr>
          <w:instrText xml:space="preserve"> PAGEREF _Toc83291125 \h </w:instrText>
        </w:r>
        <w:r w:rsidR="00461B09">
          <w:rPr>
            <w:noProof/>
            <w:webHidden/>
          </w:rPr>
        </w:r>
        <w:r w:rsidR="00461B09">
          <w:rPr>
            <w:noProof/>
            <w:webHidden/>
          </w:rPr>
          <w:fldChar w:fldCharType="separate"/>
        </w:r>
        <w:r>
          <w:rPr>
            <w:noProof/>
            <w:webHidden/>
          </w:rPr>
          <w:t>28</w:t>
        </w:r>
        <w:r w:rsidR="00461B09">
          <w:rPr>
            <w:noProof/>
            <w:webHidden/>
          </w:rPr>
          <w:fldChar w:fldCharType="end"/>
        </w:r>
      </w:hyperlink>
    </w:p>
    <w:p w:rsidR="00461B09" w:rsidRDefault="001444AD">
      <w:pPr>
        <w:pStyle w:val="11"/>
        <w:rPr>
          <w:rFonts w:asciiTheme="minorHAnsi" w:eastAsiaTheme="minorEastAsia" w:hAnsiTheme="minorHAnsi" w:cstheme="minorBidi"/>
          <w:lang w:val="ru-RU"/>
        </w:rPr>
      </w:pPr>
      <w:hyperlink w:anchor="_Toc83291126" w:history="1">
        <w:r w:rsidR="00461B09" w:rsidRPr="005844F2">
          <w:rPr>
            <w:rStyle w:val="af0"/>
          </w:rPr>
          <w:t>III. EXTERNAL DEBT OF THE REPUBLIC OF UZBEKISTAN</w:t>
        </w:r>
        <w:r w:rsidR="00461B09">
          <w:rPr>
            <w:webHidden/>
          </w:rPr>
          <w:tab/>
        </w:r>
        <w:r w:rsidR="00461B09">
          <w:rPr>
            <w:webHidden/>
          </w:rPr>
          <w:fldChar w:fldCharType="begin"/>
        </w:r>
        <w:r w:rsidR="00461B09">
          <w:rPr>
            <w:webHidden/>
          </w:rPr>
          <w:instrText xml:space="preserve"> PAGEREF _Toc83291126 \h </w:instrText>
        </w:r>
        <w:r w:rsidR="00461B09">
          <w:rPr>
            <w:webHidden/>
          </w:rPr>
        </w:r>
        <w:r w:rsidR="00461B09">
          <w:rPr>
            <w:webHidden/>
          </w:rPr>
          <w:fldChar w:fldCharType="separate"/>
        </w:r>
        <w:r>
          <w:rPr>
            <w:webHidden/>
          </w:rPr>
          <w:t>29</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27" w:history="1">
        <w:r w:rsidR="00461B09" w:rsidRPr="005844F2">
          <w:rPr>
            <w:rStyle w:val="af0"/>
          </w:rPr>
          <w:t>BALANCE OF PAYMENTS IN 2019 - 2020 AND THE FIRST HALF OF 2021</w:t>
        </w:r>
        <w:r w:rsidR="00461B09">
          <w:rPr>
            <w:webHidden/>
          </w:rPr>
          <w:tab/>
        </w:r>
        <w:r w:rsidR="00461B09">
          <w:rPr>
            <w:webHidden/>
          </w:rPr>
          <w:fldChar w:fldCharType="begin"/>
        </w:r>
        <w:r w:rsidR="00461B09">
          <w:rPr>
            <w:webHidden/>
          </w:rPr>
          <w:instrText xml:space="preserve"> PAGEREF _Toc83291127 \h </w:instrText>
        </w:r>
        <w:r w:rsidR="00461B09">
          <w:rPr>
            <w:webHidden/>
          </w:rPr>
        </w:r>
        <w:r w:rsidR="00461B09">
          <w:rPr>
            <w:webHidden/>
          </w:rPr>
          <w:fldChar w:fldCharType="separate"/>
        </w:r>
        <w:r>
          <w:rPr>
            <w:webHidden/>
          </w:rPr>
          <w:t>35</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28" w:history="1">
        <w:r w:rsidR="00461B09" w:rsidRPr="005844F2">
          <w:rPr>
            <w:rStyle w:val="af0"/>
          </w:rPr>
          <w:t>INTERNATIONAL INVESTMENT POSITION IN 2019 - 2020 AND THE FIRST HALF OF 2021</w:t>
        </w:r>
        <w:r w:rsidR="00461B09">
          <w:rPr>
            <w:webHidden/>
          </w:rPr>
          <w:tab/>
        </w:r>
        <w:r w:rsidR="00461B09">
          <w:rPr>
            <w:webHidden/>
          </w:rPr>
          <w:fldChar w:fldCharType="begin"/>
        </w:r>
        <w:r w:rsidR="00461B09">
          <w:rPr>
            <w:webHidden/>
          </w:rPr>
          <w:instrText xml:space="preserve"> PAGEREF _Toc83291128 \h </w:instrText>
        </w:r>
        <w:r w:rsidR="00461B09">
          <w:rPr>
            <w:webHidden/>
          </w:rPr>
        </w:r>
        <w:r w:rsidR="00461B09">
          <w:rPr>
            <w:webHidden/>
          </w:rPr>
          <w:fldChar w:fldCharType="separate"/>
        </w:r>
        <w:r>
          <w:rPr>
            <w:webHidden/>
          </w:rPr>
          <w:t>37</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29" w:history="1">
        <w:r w:rsidR="00461B09" w:rsidRPr="005844F2">
          <w:rPr>
            <w:rStyle w:val="af0"/>
          </w:rPr>
          <w:t>GROSS EXTERNAL DEBT IN 2019 - 2020 AND THE FIRST HALF OF 2021</w:t>
        </w:r>
        <w:r w:rsidR="00461B09">
          <w:rPr>
            <w:webHidden/>
          </w:rPr>
          <w:tab/>
        </w:r>
        <w:r w:rsidR="00461B09">
          <w:rPr>
            <w:webHidden/>
          </w:rPr>
          <w:fldChar w:fldCharType="begin"/>
        </w:r>
        <w:r w:rsidR="00461B09">
          <w:rPr>
            <w:webHidden/>
          </w:rPr>
          <w:instrText xml:space="preserve"> PAGEREF _Toc83291129 \h </w:instrText>
        </w:r>
        <w:r w:rsidR="00461B09">
          <w:rPr>
            <w:webHidden/>
          </w:rPr>
        </w:r>
        <w:r w:rsidR="00461B09">
          <w:rPr>
            <w:webHidden/>
          </w:rPr>
          <w:fldChar w:fldCharType="separate"/>
        </w:r>
        <w:r>
          <w:rPr>
            <w:webHidden/>
          </w:rPr>
          <w:t>40</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0" w:history="1">
        <w:r w:rsidR="00461B09" w:rsidRPr="005844F2">
          <w:rPr>
            <w:rStyle w:val="af0"/>
          </w:rPr>
          <w:t>FOREIGN MERCHANDISE TRADE TURNOVER IN 2019 - 2020 AND FOR THE FIRST HALF OF 2021</w:t>
        </w:r>
        <w:r w:rsidR="00461B09">
          <w:rPr>
            <w:webHidden/>
          </w:rPr>
          <w:tab/>
        </w:r>
        <w:r w:rsidR="00461B09">
          <w:rPr>
            <w:webHidden/>
          </w:rPr>
          <w:fldChar w:fldCharType="begin"/>
        </w:r>
        <w:r w:rsidR="00461B09">
          <w:rPr>
            <w:webHidden/>
          </w:rPr>
          <w:instrText xml:space="preserve"> PAGEREF _Toc83291130 \h </w:instrText>
        </w:r>
        <w:r w:rsidR="00461B09">
          <w:rPr>
            <w:webHidden/>
          </w:rPr>
        </w:r>
        <w:r w:rsidR="00461B09">
          <w:rPr>
            <w:webHidden/>
          </w:rPr>
          <w:fldChar w:fldCharType="separate"/>
        </w:r>
        <w:r>
          <w:rPr>
            <w:webHidden/>
          </w:rPr>
          <w:t>43</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1" w:history="1">
        <w:r w:rsidR="00461B09" w:rsidRPr="005844F2">
          <w:rPr>
            <w:rStyle w:val="af0"/>
          </w:rPr>
          <w:t>STRUCTURE OF MERCHANDISE EXPORTS AND IMPORTS FOR THE FIRST HALF OF2020 AND 2021</w:t>
        </w:r>
        <w:r w:rsidR="00461B09">
          <w:rPr>
            <w:webHidden/>
          </w:rPr>
          <w:tab/>
        </w:r>
        <w:r w:rsidR="00461B09">
          <w:rPr>
            <w:webHidden/>
          </w:rPr>
          <w:fldChar w:fldCharType="begin"/>
        </w:r>
        <w:r w:rsidR="00461B09">
          <w:rPr>
            <w:webHidden/>
          </w:rPr>
          <w:instrText xml:space="preserve"> PAGEREF _Toc83291131 \h </w:instrText>
        </w:r>
        <w:r w:rsidR="00461B09">
          <w:rPr>
            <w:webHidden/>
          </w:rPr>
        </w:r>
        <w:r w:rsidR="00461B09">
          <w:rPr>
            <w:webHidden/>
          </w:rPr>
          <w:fldChar w:fldCharType="separate"/>
        </w:r>
        <w:r>
          <w:rPr>
            <w:webHidden/>
          </w:rPr>
          <w:t>44</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2" w:history="1">
        <w:r w:rsidR="00461B09" w:rsidRPr="005844F2">
          <w:rPr>
            <w:rStyle w:val="af0"/>
          </w:rPr>
          <w:t xml:space="preserve">EXPORTED GOODS WITH HIGH COEFFICIENT OF PRODUCT CONCENTRATION  </w:t>
        </w:r>
        <w:r w:rsidR="00461B09">
          <w:rPr>
            <w:rStyle w:val="af0"/>
          </w:rPr>
          <w:br/>
        </w:r>
        <w:r w:rsidR="00461B09" w:rsidRPr="005844F2">
          <w:rPr>
            <w:rStyle w:val="af0"/>
          </w:rPr>
          <w:t>FOR 2019-2020 AND FOR THE FIRST HALF OF 2021.</w:t>
        </w:r>
        <w:r w:rsidR="00461B09">
          <w:rPr>
            <w:webHidden/>
          </w:rPr>
          <w:tab/>
        </w:r>
        <w:r w:rsidR="00461B09">
          <w:rPr>
            <w:webHidden/>
          </w:rPr>
          <w:fldChar w:fldCharType="begin"/>
        </w:r>
        <w:r w:rsidR="00461B09">
          <w:rPr>
            <w:webHidden/>
          </w:rPr>
          <w:instrText xml:space="preserve"> PAGEREF _Toc83291132 \h </w:instrText>
        </w:r>
        <w:r w:rsidR="00461B09">
          <w:rPr>
            <w:webHidden/>
          </w:rPr>
        </w:r>
        <w:r w:rsidR="00461B09">
          <w:rPr>
            <w:webHidden/>
          </w:rPr>
          <w:fldChar w:fldCharType="separate"/>
        </w:r>
        <w:r>
          <w:rPr>
            <w:webHidden/>
          </w:rPr>
          <w:t>46</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3" w:history="1">
        <w:r w:rsidR="00461B09" w:rsidRPr="005844F2">
          <w:rPr>
            <w:rStyle w:val="af0"/>
          </w:rPr>
          <w:t xml:space="preserve">IMPORTED GOODS WITH HIGH COEFFICIENT OF PRODUCT CONCENTRATION  </w:t>
        </w:r>
        <w:r w:rsidR="00461B09">
          <w:rPr>
            <w:rStyle w:val="af0"/>
          </w:rPr>
          <w:br/>
        </w:r>
        <w:r w:rsidR="00461B09" w:rsidRPr="005844F2">
          <w:rPr>
            <w:rStyle w:val="af0"/>
          </w:rPr>
          <w:t>FOR 2019 – 2020 AND FOR THE FIRST HALF OF 2021.</w:t>
        </w:r>
        <w:r w:rsidR="00461B09">
          <w:rPr>
            <w:webHidden/>
          </w:rPr>
          <w:tab/>
        </w:r>
        <w:r w:rsidR="00461B09">
          <w:rPr>
            <w:webHidden/>
          </w:rPr>
          <w:fldChar w:fldCharType="begin"/>
        </w:r>
        <w:r w:rsidR="00461B09">
          <w:rPr>
            <w:webHidden/>
          </w:rPr>
          <w:instrText xml:space="preserve"> PAGEREF _Toc83291133 \h </w:instrText>
        </w:r>
        <w:r w:rsidR="00461B09">
          <w:rPr>
            <w:webHidden/>
          </w:rPr>
        </w:r>
        <w:r w:rsidR="00461B09">
          <w:rPr>
            <w:webHidden/>
          </w:rPr>
          <w:fldChar w:fldCharType="separate"/>
        </w:r>
        <w:r>
          <w:rPr>
            <w:webHidden/>
          </w:rPr>
          <w:t>50</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4" w:history="1">
        <w:r w:rsidR="00461B09" w:rsidRPr="005844F2">
          <w:rPr>
            <w:rStyle w:val="af0"/>
          </w:rPr>
          <w:t xml:space="preserve">REGIONAL STRUCTURE OF INTERNATIONAL MERCHANDISE TRADE </w:t>
        </w:r>
        <w:r w:rsidR="00461B09">
          <w:rPr>
            <w:rStyle w:val="af0"/>
          </w:rPr>
          <w:br/>
        </w:r>
        <w:r w:rsidR="00461B09" w:rsidRPr="005844F2">
          <w:rPr>
            <w:rStyle w:val="af0"/>
          </w:rPr>
          <w:t>FOR THE FIRST HALF OF 2020 AND 2021</w:t>
        </w:r>
        <w:r w:rsidR="00461B09">
          <w:rPr>
            <w:webHidden/>
          </w:rPr>
          <w:tab/>
        </w:r>
        <w:r w:rsidR="00461B09">
          <w:rPr>
            <w:webHidden/>
          </w:rPr>
          <w:fldChar w:fldCharType="begin"/>
        </w:r>
        <w:r w:rsidR="00461B09">
          <w:rPr>
            <w:webHidden/>
          </w:rPr>
          <w:instrText xml:space="preserve"> PAGEREF _Toc83291134 \h </w:instrText>
        </w:r>
        <w:r w:rsidR="00461B09">
          <w:rPr>
            <w:webHidden/>
          </w:rPr>
        </w:r>
        <w:r w:rsidR="00461B09">
          <w:rPr>
            <w:webHidden/>
          </w:rPr>
          <w:fldChar w:fldCharType="separate"/>
        </w:r>
        <w:r>
          <w:rPr>
            <w:webHidden/>
          </w:rPr>
          <w:t>59</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5" w:history="1">
        <w:r w:rsidR="00461B09" w:rsidRPr="005844F2">
          <w:rPr>
            <w:rStyle w:val="af0"/>
          </w:rPr>
          <w:t xml:space="preserve">EXTENDED CLASSIFICATION OF BALANCE OF INTERNATIONAL SERVICES </w:t>
        </w:r>
        <w:r w:rsidR="00461B09">
          <w:rPr>
            <w:rStyle w:val="af0"/>
          </w:rPr>
          <w:br/>
        </w:r>
        <w:r w:rsidR="00461B09" w:rsidRPr="005844F2">
          <w:rPr>
            <w:rStyle w:val="af0"/>
          </w:rPr>
          <w:t>FOR 2019-2020 AND FOR THE FIRST HALF OF 2021.</w:t>
        </w:r>
        <w:r w:rsidR="00461B09">
          <w:rPr>
            <w:webHidden/>
          </w:rPr>
          <w:tab/>
        </w:r>
        <w:r w:rsidR="00461B09">
          <w:rPr>
            <w:webHidden/>
          </w:rPr>
          <w:fldChar w:fldCharType="begin"/>
        </w:r>
        <w:r w:rsidR="00461B09">
          <w:rPr>
            <w:webHidden/>
          </w:rPr>
          <w:instrText xml:space="preserve"> PAGEREF _Toc83291135 \h </w:instrText>
        </w:r>
        <w:r w:rsidR="00461B09">
          <w:rPr>
            <w:webHidden/>
          </w:rPr>
        </w:r>
        <w:r w:rsidR="00461B09">
          <w:rPr>
            <w:webHidden/>
          </w:rPr>
          <w:fldChar w:fldCharType="separate"/>
        </w:r>
        <w:r>
          <w:rPr>
            <w:webHidden/>
          </w:rPr>
          <w:t>63</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6" w:history="1">
        <w:r w:rsidR="00461B09" w:rsidRPr="005844F2">
          <w:rPr>
            <w:rStyle w:val="af0"/>
          </w:rPr>
          <w:t>PERSONAL TRANSFERS FOR THE FIRST HALF OF 2019 - 2021</w:t>
        </w:r>
        <w:r w:rsidR="00461B09">
          <w:rPr>
            <w:webHidden/>
          </w:rPr>
          <w:tab/>
        </w:r>
        <w:r w:rsidR="00461B09">
          <w:rPr>
            <w:webHidden/>
          </w:rPr>
          <w:fldChar w:fldCharType="begin"/>
        </w:r>
        <w:r w:rsidR="00461B09">
          <w:rPr>
            <w:webHidden/>
          </w:rPr>
          <w:instrText xml:space="preserve"> PAGEREF _Toc83291136 \h </w:instrText>
        </w:r>
        <w:r w:rsidR="00461B09">
          <w:rPr>
            <w:webHidden/>
          </w:rPr>
        </w:r>
        <w:r w:rsidR="00461B09">
          <w:rPr>
            <w:webHidden/>
          </w:rPr>
          <w:fldChar w:fldCharType="separate"/>
        </w:r>
        <w:r>
          <w:rPr>
            <w:webHidden/>
          </w:rPr>
          <w:t>69</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7" w:history="1">
        <w:r w:rsidR="00461B09" w:rsidRPr="005844F2">
          <w:rPr>
            <w:rStyle w:val="af0"/>
          </w:rPr>
          <w:t>BALANCE OF PRIMARY INCOME FOR THE FIRST HALF OF 2019 - 2021</w:t>
        </w:r>
        <w:r w:rsidR="00461B09">
          <w:rPr>
            <w:webHidden/>
          </w:rPr>
          <w:tab/>
        </w:r>
        <w:r w:rsidR="00461B09">
          <w:rPr>
            <w:webHidden/>
          </w:rPr>
          <w:fldChar w:fldCharType="begin"/>
        </w:r>
        <w:r w:rsidR="00461B09">
          <w:rPr>
            <w:webHidden/>
          </w:rPr>
          <w:instrText xml:space="preserve"> PAGEREF _Toc83291137 \h </w:instrText>
        </w:r>
        <w:r w:rsidR="00461B09">
          <w:rPr>
            <w:webHidden/>
          </w:rPr>
        </w:r>
        <w:r w:rsidR="00461B09">
          <w:rPr>
            <w:webHidden/>
          </w:rPr>
          <w:fldChar w:fldCharType="separate"/>
        </w:r>
        <w:r>
          <w:rPr>
            <w:webHidden/>
          </w:rPr>
          <w:t>71</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8" w:history="1">
        <w:r w:rsidR="00461B09" w:rsidRPr="005844F2">
          <w:rPr>
            <w:rStyle w:val="af0"/>
          </w:rPr>
          <w:t>BALANCE OF SECONDARY INCOME FOR THE FIRST HALF OF 2019 - 2021</w:t>
        </w:r>
        <w:r w:rsidR="00461B09">
          <w:rPr>
            <w:webHidden/>
          </w:rPr>
          <w:tab/>
        </w:r>
        <w:r w:rsidR="00461B09">
          <w:rPr>
            <w:webHidden/>
          </w:rPr>
          <w:fldChar w:fldCharType="begin"/>
        </w:r>
        <w:r w:rsidR="00461B09">
          <w:rPr>
            <w:webHidden/>
          </w:rPr>
          <w:instrText xml:space="preserve"> PAGEREF _Toc83291138 \h </w:instrText>
        </w:r>
        <w:r w:rsidR="00461B09">
          <w:rPr>
            <w:webHidden/>
          </w:rPr>
        </w:r>
        <w:r w:rsidR="00461B09">
          <w:rPr>
            <w:webHidden/>
          </w:rPr>
          <w:fldChar w:fldCharType="separate"/>
        </w:r>
        <w:r>
          <w:rPr>
            <w:webHidden/>
          </w:rPr>
          <w:t>72</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39" w:history="1">
        <w:r w:rsidR="00461B09" w:rsidRPr="005844F2">
          <w:rPr>
            <w:rStyle w:val="af0"/>
          </w:rPr>
          <w:t>NET INFLOWS OF FOREIGN DIRECT INVESTMENT FOR THE FIRST HALF OF 2020 AND 2021*</w:t>
        </w:r>
        <w:r w:rsidR="00461B09">
          <w:rPr>
            <w:webHidden/>
          </w:rPr>
          <w:tab/>
        </w:r>
        <w:r w:rsidR="00461B09">
          <w:rPr>
            <w:webHidden/>
          </w:rPr>
          <w:fldChar w:fldCharType="begin"/>
        </w:r>
        <w:r w:rsidR="00461B09">
          <w:rPr>
            <w:webHidden/>
          </w:rPr>
          <w:instrText xml:space="preserve"> PAGEREF _Toc83291139 \h </w:instrText>
        </w:r>
        <w:r w:rsidR="00461B09">
          <w:rPr>
            <w:webHidden/>
          </w:rPr>
        </w:r>
        <w:r w:rsidR="00461B09">
          <w:rPr>
            <w:webHidden/>
          </w:rPr>
          <w:fldChar w:fldCharType="separate"/>
        </w:r>
        <w:r>
          <w:rPr>
            <w:webHidden/>
          </w:rPr>
          <w:t>73</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40" w:history="1">
        <w:r w:rsidR="00461B09" w:rsidRPr="005844F2">
          <w:rPr>
            <w:rStyle w:val="af0"/>
          </w:rPr>
          <w:t>INTERNATIONAL INVESTMENT POSITION FOR THE FIRST HALF OF 2021</w:t>
        </w:r>
        <w:r w:rsidR="00461B09">
          <w:rPr>
            <w:webHidden/>
          </w:rPr>
          <w:tab/>
        </w:r>
        <w:r w:rsidR="00461B09">
          <w:rPr>
            <w:webHidden/>
          </w:rPr>
          <w:fldChar w:fldCharType="begin"/>
        </w:r>
        <w:r w:rsidR="00461B09">
          <w:rPr>
            <w:webHidden/>
          </w:rPr>
          <w:instrText xml:space="preserve"> PAGEREF _Toc83291140 \h </w:instrText>
        </w:r>
        <w:r w:rsidR="00461B09">
          <w:rPr>
            <w:webHidden/>
          </w:rPr>
        </w:r>
        <w:r w:rsidR="00461B09">
          <w:rPr>
            <w:webHidden/>
          </w:rPr>
          <w:fldChar w:fldCharType="separate"/>
        </w:r>
        <w:r>
          <w:rPr>
            <w:webHidden/>
          </w:rPr>
          <w:t>74</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41" w:history="1">
        <w:r w:rsidR="00461B09" w:rsidRPr="005844F2">
          <w:rPr>
            <w:rStyle w:val="af0"/>
          </w:rPr>
          <w:t xml:space="preserve">INTERNATIONAL INVESTMENT POSITION OF GENERAL GOVERNMENT SECTOR </w:t>
        </w:r>
        <w:r w:rsidR="00461B09">
          <w:rPr>
            <w:rStyle w:val="af0"/>
          </w:rPr>
          <w:br/>
        </w:r>
        <w:r w:rsidR="00461B09" w:rsidRPr="005844F2">
          <w:rPr>
            <w:rStyle w:val="af0"/>
          </w:rPr>
          <w:t>FOR THE FIRST HALF OF 2021</w:t>
        </w:r>
        <w:r w:rsidR="00461B09">
          <w:rPr>
            <w:webHidden/>
          </w:rPr>
          <w:tab/>
        </w:r>
        <w:r w:rsidR="00461B09">
          <w:rPr>
            <w:webHidden/>
          </w:rPr>
          <w:fldChar w:fldCharType="begin"/>
        </w:r>
        <w:r w:rsidR="00461B09">
          <w:rPr>
            <w:webHidden/>
          </w:rPr>
          <w:instrText xml:space="preserve"> PAGEREF _Toc83291141 \h </w:instrText>
        </w:r>
        <w:r w:rsidR="00461B09">
          <w:rPr>
            <w:webHidden/>
          </w:rPr>
        </w:r>
        <w:r w:rsidR="00461B09">
          <w:rPr>
            <w:webHidden/>
          </w:rPr>
          <w:fldChar w:fldCharType="separate"/>
        </w:r>
        <w:r>
          <w:rPr>
            <w:webHidden/>
          </w:rPr>
          <w:t>75</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42" w:history="1">
        <w:r w:rsidR="00461B09" w:rsidRPr="005844F2">
          <w:rPr>
            <w:rStyle w:val="af0"/>
          </w:rPr>
          <w:t>INTERNATIONAL INVESTMENT POSITION OF BANKING SECTOR FOR THE FIRST HALF OF 2021</w:t>
        </w:r>
        <w:r w:rsidR="00461B09">
          <w:rPr>
            <w:webHidden/>
          </w:rPr>
          <w:tab/>
        </w:r>
        <w:r w:rsidR="00461B09">
          <w:rPr>
            <w:webHidden/>
          </w:rPr>
          <w:fldChar w:fldCharType="begin"/>
        </w:r>
        <w:r w:rsidR="00461B09">
          <w:rPr>
            <w:webHidden/>
          </w:rPr>
          <w:instrText xml:space="preserve"> PAGEREF _Toc83291142 \h </w:instrText>
        </w:r>
        <w:r w:rsidR="00461B09">
          <w:rPr>
            <w:webHidden/>
          </w:rPr>
        </w:r>
        <w:r w:rsidR="00461B09">
          <w:rPr>
            <w:webHidden/>
          </w:rPr>
          <w:fldChar w:fldCharType="separate"/>
        </w:r>
        <w:r>
          <w:rPr>
            <w:webHidden/>
          </w:rPr>
          <w:t>76</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43" w:history="1">
        <w:r w:rsidR="00461B09" w:rsidRPr="005844F2">
          <w:rPr>
            <w:rStyle w:val="af0"/>
          </w:rPr>
          <w:t>INTERNATIONAL INVESTMENT POSITION OF OTHER SECTORS FOR THE FIRST HALF OF 2021</w:t>
        </w:r>
        <w:r w:rsidR="00461B09">
          <w:rPr>
            <w:webHidden/>
          </w:rPr>
          <w:tab/>
        </w:r>
        <w:r w:rsidR="00461B09">
          <w:rPr>
            <w:webHidden/>
          </w:rPr>
          <w:fldChar w:fldCharType="begin"/>
        </w:r>
        <w:r w:rsidR="00461B09">
          <w:rPr>
            <w:webHidden/>
          </w:rPr>
          <w:instrText xml:space="preserve"> PAGEREF _Toc83291143 \h </w:instrText>
        </w:r>
        <w:r w:rsidR="00461B09">
          <w:rPr>
            <w:webHidden/>
          </w:rPr>
        </w:r>
        <w:r w:rsidR="00461B09">
          <w:rPr>
            <w:webHidden/>
          </w:rPr>
          <w:fldChar w:fldCharType="separate"/>
        </w:r>
        <w:r>
          <w:rPr>
            <w:webHidden/>
          </w:rPr>
          <w:t>77</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44" w:history="1">
        <w:r w:rsidR="00461B09" w:rsidRPr="005844F2">
          <w:rPr>
            <w:rStyle w:val="af0"/>
          </w:rPr>
          <w:t>INFORMATION ON RECEIPTS AND PAYMENTS OF PRIVATE EXTERNAL DEBT IN THE FIRST HALF OF 2021</w:t>
        </w:r>
        <w:r w:rsidR="00461B09">
          <w:rPr>
            <w:webHidden/>
          </w:rPr>
          <w:tab/>
        </w:r>
        <w:r w:rsidR="00461B09">
          <w:rPr>
            <w:webHidden/>
          </w:rPr>
          <w:fldChar w:fldCharType="begin"/>
        </w:r>
        <w:r w:rsidR="00461B09">
          <w:rPr>
            <w:webHidden/>
          </w:rPr>
          <w:instrText xml:space="preserve"> PAGEREF _Toc83291144 \h </w:instrText>
        </w:r>
        <w:r w:rsidR="00461B09">
          <w:rPr>
            <w:webHidden/>
          </w:rPr>
        </w:r>
        <w:r w:rsidR="00461B09">
          <w:rPr>
            <w:webHidden/>
          </w:rPr>
          <w:fldChar w:fldCharType="separate"/>
        </w:r>
        <w:r>
          <w:rPr>
            <w:webHidden/>
          </w:rPr>
          <w:t>78</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45" w:history="1">
        <w:r w:rsidR="00461B09" w:rsidRPr="005844F2">
          <w:rPr>
            <w:rStyle w:val="af0"/>
          </w:rPr>
          <w:t>FORECAST OF FUTURE PAYMENTS OF PRINCIPAL DEBT AND INTEREST</w:t>
        </w:r>
        <w:r w:rsidR="00461B09">
          <w:rPr>
            <w:webHidden/>
          </w:rPr>
          <w:tab/>
        </w:r>
        <w:r w:rsidR="00461B09">
          <w:rPr>
            <w:webHidden/>
          </w:rPr>
          <w:fldChar w:fldCharType="begin"/>
        </w:r>
        <w:r w:rsidR="00461B09">
          <w:rPr>
            <w:webHidden/>
          </w:rPr>
          <w:instrText xml:space="preserve"> PAGEREF _Toc83291145 \h </w:instrText>
        </w:r>
        <w:r w:rsidR="00461B09">
          <w:rPr>
            <w:webHidden/>
          </w:rPr>
        </w:r>
        <w:r w:rsidR="00461B09">
          <w:rPr>
            <w:webHidden/>
          </w:rPr>
          <w:fldChar w:fldCharType="separate"/>
        </w:r>
        <w:r>
          <w:rPr>
            <w:webHidden/>
          </w:rPr>
          <w:t>79</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46" w:history="1">
        <w:r w:rsidR="00461B09" w:rsidRPr="005844F2">
          <w:rPr>
            <w:rStyle w:val="af0"/>
          </w:rPr>
          <w:t>METHODOLOGICAL COMMENTS</w:t>
        </w:r>
        <w:r w:rsidR="00461B09">
          <w:rPr>
            <w:webHidden/>
          </w:rPr>
          <w:tab/>
        </w:r>
        <w:r w:rsidR="00461B09">
          <w:rPr>
            <w:webHidden/>
          </w:rPr>
          <w:fldChar w:fldCharType="begin"/>
        </w:r>
        <w:r w:rsidR="00461B09">
          <w:rPr>
            <w:webHidden/>
          </w:rPr>
          <w:instrText xml:space="preserve"> PAGEREF _Toc83291146 \h </w:instrText>
        </w:r>
        <w:r w:rsidR="00461B09">
          <w:rPr>
            <w:webHidden/>
          </w:rPr>
        </w:r>
        <w:r w:rsidR="00461B09">
          <w:rPr>
            <w:webHidden/>
          </w:rPr>
          <w:fldChar w:fldCharType="separate"/>
        </w:r>
        <w:r>
          <w:rPr>
            <w:webHidden/>
          </w:rPr>
          <w:t>86</w:t>
        </w:r>
        <w:r w:rsidR="00461B09">
          <w:rPr>
            <w:webHidden/>
          </w:rPr>
          <w:fldChar w:fldCharType="end"/>
        </w:r>
      </w:hyperlink>
    </w:p>
    <w:p w:rsidR="00461B09" w:rsidRDefault="001444AD">
      <w:pPr>
        <w:pStyle w:val="11"/>
        <w:rPr>
          <w:rFonts w:asciiTheme="minorHAnsi" w:eastAsiaTheme="minorEastAsia" w:hAnsiTheme="minorHAnsi" w:cstheme="minorBidi"/>
          <w:lang w:val="ru-RU"/>
        </w:rPr>
      </w:pPr>
      <w:hyperlink w:anchor="_Toc83291147" w:history="1">
        <w:r w:rsidR="00461B09" w:rsidRPr="005844F2">
          <w:rPr>
            <w:rStyle w:val="af0"/>
          </w:rPr>
          <w:t>GLOSSARY OF TERMS</w:t>
        </w:r>
        <w:r w:rsidR="00461B09">
          <w:rPr>
            <w:webHidden/>
          </w:rPr>
          <w:tab/>
        </w:r>
        <w:r w:rsidR="00461B09">
          <w:rPr>
            <w:webHidden/>
          </w:rPr>
          <w:fldChar w:fldCharType="begin"/>
        </w:r>
        <w:r w:rsidR="00461B09">
          <w:rPr>
            <w:webHidden/>
          </w:rPr>
          <w:instrText xml:space="preserve"> PAGEREF _Toc83291147 \h </w:instrText>
        </w:r>
        <w:r w:rsidR="00461B09">
          <w:rPr>
            <w:webHidden/>
          </w:rPr>
        </w:r>
        <w:r w:rsidR="00461B09">
          <w:rPr>
            <w:webHidden/>
          </w:rPr>
          <w:fldChar w:fldCharType="separate"/>
        </w:r>
        <w:r>
          <w:rPr>
            <w:webHidden/>
          </w:rPr>
          <w:t>93</w:t>
        </w:r>
        <w:r w:rsidR="00461B09">
          <w:rPr>
            <w:webHidden/>
          </w:rPr>
          <w:fldChar w:fldCharType="end"/>
        </w:r>
      </w:hyperlink>
    </w:p>
    <w:p w:rsidR="00DA5BF2" w:rsidRPr="00D1550C" w:rsidRDefault="002F409C" w:rsidP="00DA5BF2">
      <w:pPr>
        <w:pStyle w:val="11"/>
        <w:rPr>
          <w:noProof w:val="0"/>
          <w:sz w:val="23"/>
          <w:szCs w:val="23"/>
        </w:rPr>
      </w:pPr>
      <w:r w:rsidRPr="00D1550C">
        <w:rPr>
          <w:noProof w:val="0"/>
          <w:highlight w:val="yellow"/>
        </w:rPr>
        <w:fldChar w:fldCharType="end"/>
      </w:r>
    </w:p>
    <w:p w:rsidR="00C125F4" w:rsidRPr="00D1550C" w:rsidRDefault="00C125F4" w:rsidP="00DA5BF2">
      <w:pPr>
        <w:pStyle w:val="11"/>
        <w:rPr>
          <w:rFonts w:ascii="Times New Roman" w:hAnsi="Times New Roman"/>
          <w:noProof w:val="0"/>
          <w:color w:val="000000"/>
          <w:sz w:val="28"/>
          <w:szCs w:val="28"/>
        </w:rPr>
      </w:pPr>
      <w:r w:rsidRPr="00D1550C">
        <w:rPr>
          <w:rFonts w:ascii="Times New Roman" w:hAnsi="Times New Roman"/>
          <w:noProof w:val="0"/>
          <w:color w:val="000000"/>
          <w:sz w:val="28"/>
          <w:szCs w:val="28"/>
        </w:rPr>
        <w:br w:type="page"/>
      </w:r>
    </w:p>
    <w:p w:rsidR="006F0FAC" w:rsidRPr="00D1550C" w:rsidRDefault="00C125F4" w:rsidP="003C6314">
      <w:pPr>
        <w:pStyle w:val="1"/>
        <w:spacing w:before="0" w:after="360"/>
        <w:ind w:left="0" w:firstLine="709"/>
        <w:rPr>
          <w:lang w:val="en-US"/>
        </w:rPr>
      </w:pPr>
      <w:bookmarkStart w:id="1" w:name="_Toc83291111"/>
      <w:r w:rsidRPr="00D1550C">
        <w:rPr>
          <w:lang w:val="en-US"/>
        </w:rPr>
        <w:lastRenderedPageBreak/>
        <w:t>ANNOTATION</w:t>
      </w:r>
      <w:bookmarkEnd w:id="1"/>
      <w:r w:rsidRPr="00D1550C">
        <w:rPr>
          <w:lang w:val="en-US"/>
        </w:rPr>
        <w:t xml:space="preserve"> </w:t>
      </w:r>
    </w:p>
    <w:p w:rsidR="00491FB2" w:rsidRPr="00D1550C" w:rsidRDefault="00491FB2" w:rsidP="00491FB2">
      <w:pPr>
        <w:spacing w:before="120" w:line="288" w:lineRule="auto"/>
        <w:ind w:firstLine="709"/>
        <w:jc w:val="both"/>
        <w:rPr>
          <w:sz w:val="26"/>
          <w:szCs w:val="26"/>
        </w:rPr>
      </w:pPr>
      <w:r w:rsidRPr="00D1550C">
        <w:rPr>
          <w:sz w:val="26"/>
          <w:szCs w:val="26"/>
        </w:rPr>
        <w:t xml:space="preserve">The main factors that influenced the formation of the balance of payments indicators of the Republic of Uzbekistan for </w:t>
      </w:r>
      <w:r w:rsidR="00DD4A2D" w:rsidRPr="00D1550C">
        <w:rPr>
          <w:sz w:val="26"/>
          <w:szCs w:val="26"/>
        </w:rPr>
        <w:t xml:space="preserve">the </w:t>
      </w:r>
      <w:r w:rsidR="00AA386E" w:rsidRPr="00D1550C">
        <w:rPr>
          <w:sz w:val="26"/>
          <w:szCs w:val="26"/>
        </w:rPr>
        <w:t>1</w:t>
      </w:r>
      <w:r w:rsidR="00AA386E" w:rsidRPr="00D1550C">
        <w:rPr>
          <w:sz w:val="26"/>
          <w:szCs w:val="26"/>
          <w:vertAlign w:val="superscript"/>
        </w:rPr>
        <w:t>st</w:t>
      </w:r>
      <w:r w:rsidRPr="00D1550C">
        <w:rPr>
          <w:sz w:val="26"/>
          <w:szCs w:val="26"/>
        </w:rPr>
        <w:t xml:space="preserve"> half of </w:t>
      </w:r>
      <w:r w:rsidRPr="00D1550C">
        <w:rPr>
          <w:rFonts w:cs="Calibri"/>
          <w:sz w:val="26"/>
          <w:szCs w:val="26"/>
        </w:rPr>
        <w:t>2021</w:t>
      </w:r>
      <w:r w:rsidRPr="00D1550C">
        <w:rPr>
          <w:sz w:val="26"/>
          <w:szCs w:val="26"/>
        </w:rPr>
        <w:t xml:space="preserve"> were</w:t>
      </w:r>
      <w:r w:rsidR="00AA386E" w:rsidRPr="00D1550C">
        <w:rPr>
          <w:sz w:val="26"/>
          <w:szCs w:val="26"/>
        </w:rPr>
        <w:t xml:space="preserve"> positive</w:t>
      </w:r>
      <w:r w:rsidRPr="00D1550C">
        <w:rPr>
          <w:sz w:val="26"/>
          <w:szCs w:val="26"/>
        </w:rPr>
        <w:t xml:space="preserve"> changes in the internal and external conditions </w:t>
      </w:r>
      <w:r w:rsidR="00AA386E" w:rsidRPr="00D1550C">
        <w:rPr>
          <w:sz w:val="26"/>
          <w:szCs w:val="26"/>
        </w:rPr>
        <w:t>after</w:t>
      </w:r>
      <w:r w:rsidRPr="00D1550C">
        <w:rPr>
          <w:sz w:val="26"/>
          <w:szCs w:val="26"/>
        </w:rPr>
        <w:t xml:space="preserve"> coronacrisis on the world economy</w:t>
      </w:r>
      <w:r w:rsidR="00AA386E" w:rsidRPr="00D1550C">
        <w:rPr>
          <w:sz w:val="26"/>
          <w:szCs w:val="26"/>
        </w:rPr>
        <w:t>, recovery</w:t>
      </w:r>
      <w:r w:rsidRPr="00D1550C">
        <w:rPr>
          <w:sz w:val="26"/>
          <w:szCs w:val="26"/>
        </w:rPr>
        <w:t xml:space="preserve"> </w:t>
      </w:r>
      <w:r w:rsidR="00AA386E" w:rsidRPr="00D1550C">
        <w:rPr>
          <w:sz w:val="26"/>
          <w:szCs w:val="26"/>
        </w:rPr>
        <w:t>of foreign trade and</w:t>
      </w:r>
      <w:r w:rsidRPr="00D1550C">
        <w:rPr>
          <w:sz w:val="26"/>
          <w:szCs w:val="26"/>
        </w:rPr>
        <w:t xml:space="preserve"> </w:t>
      </w:r>
      <w:r w:rsidR="00AA386E" w:rsidRPr="00D1550C">
        <w:rPr>
          <w:sz w:val="26"/>
          <w:szCs w:val="26"/>
        </w:rPr>
        <w:t>growing</w:t>
      </w:r>
      <w:r w:rsidRPr="00D1550C">
        <w:rPr>
          <w:sz w:val="26"/>
          <w:szCs w:val="26"/>
        </w:rPr>
        <w:t xml:space="preserve"> business activity </w:t>
      </w:r>
      <w:r w:rsidR="00AA386E" w:rsidRPr="00D1550C">
        <w:rPr>
          <w:sz w:val="26"/>
          <w:szCs w:val="26"/>
        </w:rPr>
        <w:t xml:space="preserve">in global market </w:t>
      </w:r>
      <w:r w:rsidRPr="00D1550C">
        <w:rPr>
          <w:sz w:val="26"/>
          <w:szCs w:val="26"/>
        </w:rPr>
        <w:t>and other factors.</w:t>
      </w:r>
    </w:p>
    <w:p w:rsidR="00491FB2" w:rsidRPr="00D1550C" w:rsidRDefault="00491FB2" w:rsidP="00491FB2">
      <w:pPr>
        <w:spacing w:before="120" w:line="288" w:lineRule="auto"/>
        <w:ind w:firstLine="709"/>
        <w:jc w:val="both"/>
        <w:rPr>
          <w:sz w:val="26"/>
          <w:szCs w:val="26"/>
        </w:rPr>
      </w:pPr>
      <w:r w:rsidRPr="00D1550C">
        <w:rPr>
          <w:sz w:val="26"/>
          <w:szCs w:val="26"/>
        </w:rPr>
        <w:t xml:space="preserve">Under the influence of the above factors, the current account formed with a deficit of USD 3.3 </w:t>
      </w:r>
      <w:r w:rsidR="00C97ADC" w:rsidRPr="00D1550C">
        <w:rPr>
          <w:sz w:val="26"/>
          <w:szCs w:val="26"/>
        </w:rPr>
        <w:t>b</w:t>
      </w:r>
      <w:r w:rsidRPr="00D1550C">
        <w:rPr>
          <w:sz w:val="26"/>
          <w:szCs w:val="26"/>
        </w:rPr>
        <w:t>illion (</w:t>
      </w:r>
      <w:r w:rsidRPr="00D1550C">
        <w:rPr>
          <w:i/>
          <w:sz w:val="26"/>
          <w:szCs w:val="26"/>
        </w:rPr>
        <w:t>USD</w:t>
      </w:r>
      <w:r w:rsidRPr="00D1550C">
        <w:rPr>
          <w:sz w:val="26"/>
          <w:szCs w:val="26"/>
        </w:rPr>
        <w:t xml:space="preserve"> </w:t>
      </w:r>
      <w:r w:rsidRPr="00D1550C">
        <w:rPr>
          <w:i/>
          <w:sz w:val="26"/>
          <w:szCs w:val="26"/>
        </w:rPr>
        <w:t>1.9 billion for</w:t>
      </w:r>
      <w:r w:rsidR="00BA7E11" w:rsidRPr="00D1550C">
        <w:rPr>
          <w:i/>
          <w:sz w:val="26"/>
          <w:szCs w:val="26"/>
        </w:rPr>
        <w:t xml:space="preserve"> the</w:t>
      </w:r>
      <w:r w:rsidRPr="00D1550C">
        <w:rPr>
          <w:i/>
          <w:sz w:val="26"/>
          <w:szCs w:val="26"/>
        </w:rPr>
        <w:t xml:space="preserve"> I half of 2020</w:t>
      </w:r>
      <w:r w:rsidRPr="00D1550C">
        <w:rPr>
          <w:sz w:val="26"/>
          <w:szCs w:val="26"/>
        </w:rPr>
        <w:t>). At the same time, the negative trade</w:t>
      </w:r>
      <w:r w:rsidR="006A509E" w:rsidRPr="00D1550C">
        <w:rPr>
          <w:sz w:val="26"/>
          <w:szCs w:val="26"/>
        </w:rPr>
        <w:t xml:space="preserve"> (goods and services)</w:t>
      </w:r>
      <w:r w:rsidRPr="00D1550C">
        <w:rPr>
          <w:sz w:val="26"/>
          <w:szCs w:val="26"/>
        </w:rPr>
        <w:t xml:space="preserve"> balance </w:t>
      </w:r>
      <w:r w:rsidR="006A509E" w:rsidRPr="00D1550C">
        <w:rPr>
          <w:rFonts w:cs="Calibri"/>
          <w:sz w:val="26"/>
          <w:szCs w:val="26"/>
        </w:rPr>
        <w:t>(</w:t>
      </w:r>
      <w:r w:rsidR="006A509E" w:rsidRPr="00D1550C">
        <w:rPr>
          <w:i/>
          <w:sz w:val="26"/>
          <w:szCs w:val="26"/>
        </w:rPr>
        <w:t>USD</w:t>
      </w:r>
      <w:r w:rsidR="006A509E" w:rsidRPr="00D1550C">
        <w:rPr>
          <w:rFonts w:cs="Calibri"/>
          <w:sz w:val="26"/>
          <w:szCs w:val="26"/>
        </w:rPr>
        <w:t xml:space="preserve"> 5,8 </w:t>
      </w:r>
      <w:r w:rsidR="006A509E" w:rsidRPr="00D1550C">
        <w:rPr>
          <w:i/>
          <w:sz w:val="26"/>
          <w:szCs w:val="26"/>
        </w:rPr>
        <w:t>billion</w:t>
      </w:r>
      <w:r w:rsidR="006A509E" w:rsidRPr="00D1550C">
        <w:rPr>
          <w:rFonts w:cs="Calibri"/>
          <w:sz w:val="26"/>
          <w:szCs w:val="26"/>
        </w:rPr>
        <w:t>)</w:t>
      </w:r>
      <w:r w:rsidRPr="00D1550C">
        <w:rPr>
          <w:sz w:val="26"/>
          <w:szCs w:val="26"/>
        </w:rPr>
        <w:t xml:space="preserve"> </w:t>
      </w:r>
      <w:r w:rsidR="006A509E" w:rsidRPr="00D1550C">
        <w:rPr>
          <w:sz w:val="26"/>
          <w:szCs w:val="26"/>
        </w:rPr>
        <w:t>was partially offset by the positive balance of</w:t>
      </w:r>
      <w:r w:rsidRPr="00D1550C">
        <w:rPr>
          <w:sz w:val="26"/>
          <w:szCs w:val="26"/>
        </w:rPr>
        <w:t xml:space="preserve"> primary income </w:t>
      </w:r>
      <w:r w:rsidR="006A509E" w:rsidRPr="00D1550C">
        <w:rPr>
          <w:sz w:val="26"/>
          <w:szCs w:val="26"/>
        </w:rPr>
        <w:t>and</w:t>
      </w:r>
      <w:r w:rsidRPr="00D1550C">
        <w:rPr>
          <w:sz w:val="26"/>
          <w:szCs w:val="26"/>
        </w:rPr>
        <w:t xml:space="preserve"> secondary income (</w:t>
      </w:r>
      <w:r w:rsidRPr="00D1550C">
        <w:rPr>
          <w:i/>
          <w:sz w:val="26"/>
          <w:szCs w:val="26"/>
        </w:rPr>
        <w:t>USD 2.5 billion</w:t>
      </w:r>
      <w:r w:rsidRPr="00D1550C">
        <w:rPr>
          <w:sz w:val="26"/>
          <w:szCs w:val="26"/>
        </w:rPr>
        <w:t xml:space="preserve">). </w:t>
      </w:r>
    </w:p>
    <w:p w:rsidR="000303BB" w:rsidRPr="00D1550C" w:rsidRDefault="00491FB2" w:rsidP="000303BB">
      <w:pPr>
        <w:spacing w:before="120" w:line="288" w:lineRule="auto"/>
        <w:ind w:firstLine="709"/>
        <w:jc w:val="both"/>
        <w:rPr>
          <w:sz w:val="26"/>
          <w:szCs w:val="26"/>
        </w:rPr>
      </w:pPr>
      <w:r w:rsidRPr="00D1550C">
        <w:rPr>
          <w:sz w:val="26"/>
          <w:szCs w:val="26"/>
        </w:rPr>
        <w:t>Negative balance of the financial account</w:t>
      </w:r>
      <w:r w:rsidR="006A509E" w:rsidRPr="00D1550C">
        <w:rPr>
          <w:sz w:val="26"/>
          <w:szCs w:val="26"/>
        </w:rPr>
        <w:t xml:space="preserve"> increased by 13</w:t>
      </w:r>
      <w:r w:rsidR="00BE1F14" w:rsidRPr="00D1550C">
        <w:rPr>
          <w:sz w:val="26"/>
          <w:szCs w:val="26"/>
        </w:rPr>
        <w:t xml:space="preserve"> % </w:t>
      </w:r>
      <w:r w:rsidR="008E2E17" w:rsidRPr="00D1550C">
        <w:rPr>
          <w:sz w:val="26"/>
          <w:szCs w:val="26"/>
        </w:rPr>
        <w:t>or</w:t>
      </w:r>
      <w:r w:rsidR="003E18B4" w:rsidRPr="00D1550C">
        <w:rPr>
          <w:sz w:val="26"/>
          <w:szCs w:val="26"/>
        </w:rPr>
        <w:t xml:space="preserve"> </w:t>
      </w:r>
      <w:r w:rsidR="008E2E17" w:rsidRPr="00D1550C">
        <w:rPr>
          <w:sz w:val="26"/>
          <w:szCs w:val="26"/>
        </w:rPr>
        <w:t>USD 403.3 million</w:t>
      </w:r>
      <w:r w:rsidR="00BE1F14" w:rsidRPr="00D1550C">
        <w:rPr>
          <w:sz w:val="26"/>
          <w:szCs w:val="26"/>
        </w:rPr>
        <w:t xml:space="preserve"> and for the 1</w:t>
      </w:r>
      <w:r w:rsidR="00BE1F14" w:rsidRPr="00D1550C">
        <w:rPr>
          <w:sz w:val="26"/>
          <w:szCs w:val="26"/>
          <w:vertAlign w:val="superscript"/>
        </w:rPr>
        <w:t>st</w:t>
      </w:r>
      <w:r w:rsidR="00BE1F14" w:rsidRPr="00D1550C">
        <w:rPr>
          <w:sz w:val="26"/>
          <w:szCs w:val="26"/>
        </w:rPr>
        <w:t xml:space="preserve"> half of 2021 accounted for</w:t>
      </w:r>
      <w:r w:rsidRPr="00D1550C">
        <w:rPr>
          <w:sz w:val="26"/>
          <w:szCs w:val="26"/>
        </w:rPr>
        <w:t xml:space="preserve"> USD 3.6 billion</w:t>
      </w:r>
      <w:r w:rsidR="00BE1F14" w:rsidRPr="00D1550C">
        <w:rPr>
          <w:sz w:val="26"/>
          <w:szCs w:val="26"/>
        </w:rPr>
        <w:t>.</w:t>
      </w:r>
      <w:r w:rsidRPr="00D1550C">
        <w:rPr>
          <w:sz w:val="26"/>
          <w:szCs w:val="26"/>
        </w:rPr>
        <w:t xml:space="preserve"> </w:t>
      </w:r>
      <w:r w:rsidR="00BE1F14" w:rsidRPr="00D1550C">
        <w:rPr>
          <w:sz w:val="26"/>
          <w:szCs w:val="26"/>
        </w:rPr>
        <w:t>G</w:t>
      </w:r>
      <w:r w:rsidRPr="00D1550C">
        <w:rPr>
          <w:sz w:val="26"/>
          <w:szCs w:val="26"/>
        </w:rPr>
        <w:t>rowth of</w:t>
      </w:r>
      <w:r w:rsidR="00BE1F14" w:rsidRPr="00D1550C">
        <w:rPr>
          <w:sz w:val="26"/>
          <w:szCs w:val="26"/>
        </w:rPr>
        <w:t xml:space="preserve"> negative balance of</w:t>
      </w:r>
      <w:r w:rsidRPr="00D1550C">
        <w:rPr>
          <w:sz w:val="26"/>
          <w:szCs w:val="26"/>
        </w:rPr>
        <w:t xml:space="preserve"> financial</w:t>
      </w:r>
      <w:r w:rsidR="00BE1F14" w:rsidRPr="00D1550C">
        <w:rPr>
          <w:sz w:val="26"/>
          <w:szCs w:val="26"/>
        </w:rPr>
        <w:t xml:space="preserve"> account</w:t>
      </w:r>
      <w:r w:rsidRPr="00D1550C">
        <w:rPr>
          <w:sz w:val="26"/>
          <w:szCs w:val="26"/>
        </w:rPr>
        <w:t xml:space="preserve"> </w:t>
      </w:r>
      <w:r w:rsidR="000303BB" w:rsidRPr="00D1550C">
        <w:rPr>
          <w:sz w:val="26"/>
          <w:szCs w:val="26"/>
        </w:rPr>
        <w:t>is due to decrease in the</w:t>
      </w:r>
      <w:r w:rsidR="008E2E17" w:rsidRPr="00D1550C">
        <w:rPr>
          <w:sz w:val="26"/>
          <w:szCs w:val="26"/>
        </w:rPr>
        <w:t xml:space="preserve"> “</w:t>
      </w:r>
      <w:r w:rsidR="000303BB" w:rsidRPr="00D1550C">
        <w:rPr>
          <w:sz w:val="26"/>
          <w:szCs w:val="26"/>
        </w:rPr>
        <w:t>currency and deposit</w:t>
      </w:r>
      <w:r w:rsidR="008E2E17" w:rsidRPr="00D1550C">
        <w:rPr>
          <w:sz w:val="26"/>
          <w:szCs w:val="26"/>
        </w:rPr>
        <w:t>”</w:t>
      </w:r>
      <w:r w:rsidR="001448E6" w:rsidRPr="00D1550C">
        <w:rPr>
          <w:sz w:val="26"/>
          <w:szCs w:val="26"/>
        </w:rPr>
        <w:t xml:space="preserve"> component</w:t>
      </w:r>
      <w:r w:rsidR="0093088D" w:rsidRPr="00D1550C">
        <w:rPr>
          <w:sz w:val="26"/>
          <w:szCs w:val="26"/>
        </w:rPr>
        <w:t xml:space="preserve"> of reserve asset</w:t>
      </w:r>
      <w:r w:rsidR="001448E6" w:rsidRPr="00D1550C">
        <w:rPr>
          <w:sz w:val="26"/>
          <w:szCs w:val="26"/>
        </w:rPr>
        <w:t>s</w:t>
      </w:r>
      <w:r w:rsidR="000303BB" w:rsidRPr="00D1550C">
        <w:rPr>
          <w:sz w:val="26"/>
          <w:szCs w:val="26"/>
        </w:rPr>
        <w:t xml:space="preserve"> by </w:t>
      </w:r>
      <w:r w:rsidR="003E18B4" w:rsidRPr="00D1550C">
        <w:rPr>
          <w:sz w:val="26"/>
          <w:szCs w:val="26"/>
        </w:rPr>
        <w:br/>
      </w:r>
      <w:r w:rsidR="000303BB" w:rsidRPr="00D1550C">
        <w:rPr>
          <w:sz w:val="26"/>
          <w:szCs w:val="26"/>
        </w:rPr>
        <w:t xml:space="preserve">USD 781,7 million and growth of </w:t>
      </w:r>
      <w:r w:rsidR="008E2E17" w:rsidRPr="00D1550C">
        <w:rPr>
          <w:sz w:val="26"/>
          <w:szCs w:val="26"/>
        </w:rPr>
        <w:t xml:space="preserve">financial </w:t>
      </w:r>
      <w:r w:rsidR="000303BB" w:rsidRPr="00D1550C">
        <w:rPr>
          <w:sz w:val="26"/>
          <w:szCs w:val="26"/>
        </w:rPr>
        <w:t xml:space="preserve">liabilities </w:t>
      </w:r>
      <w:r w:rsidR="001448E6" w:rsidRPr="00D1550C">
        <w:rPr>
          <w:sz w:val="26"/>
          <w:szCs w:val="26"/>
        </w:rPr>
        <w:t xml:space="preserve">of </w:t>
      </w:r>
      <w:r w:rsidR="008E2E17" w:rsidRPr="00D1550C">
        <w:rPr>
          <w:sz w:val="26"/>
          <w:szCs w:val="26"/>
        </w:rPr>
        <w:t>“</w:t>
      </w:r>
      <w:r w:rsidR="000303BB" w:rsidRPr="00D1550C">
        <w:rPr>
          <w:sz w:val="26"/>
          <w:szCs w:val="26"/>
        </w:rPr>
        <w:t>loans and credits</w:t>
      </w:r>
      <w:r w:rsidR="008E2E17" w:rsidRPr="00D1550C">
        <w:rPr>
          <w:sz w:val="26"/>
          <w:szCs w:val="26"/>
        </w:rPr>
        <w:t>”</w:t>
      </w:r>
      <w:r w:rsidR="000303BB" w:rsidRPr="00D1550C">
        <w:rPr>
          <w:sz w:val="26"/>
          <w:szCs w:val="26"/>
        </w:rPr>
        <w:t xml:space="preserve">, direct </w:t>
      </w:r>
      <w:r w:rsidR="008E2E17" w:rsidRPr="00D1550C">
        <w:rPr>
          <w:sz w:val="26"/>
          <w:szCs w:val="26"/>
        </w:rPr>
        <w:t>investment” and</w:t>
      </w:r>
      <w:r w:rsidR="000303BB" w:rsidRPr="00D1550C">
        <w:rPr>
          <w:sz w:val="26"/>
          <w:szCs w:val="26"/>
        </w:rPr>
        <w:t xml:space="preserve"> </w:t>
      </w:r>
      <w:r w:rsidR="008E2E17" w:rsidRPr="00D1550C">
        <w:rPr>
          <w:sz w:val="26"/>
          <w:szCs w:val="26"/>
        </w:rPr>
        <w:t>“</w:t>
      </w:r>
      <w:r w:rsidR="000303BB" w:rsidRPr="00D1550C">
        <w:rPr>
          <w:sz w:val="26"/>
          <w:szCs w:val="26"/>
        </w:rPr>
        <w:t>portfolio investment</w:t>
      </w:r>
      <w:r w:rsidR="008E2E17" w:rsidRPr="00D1550C">
        <w:rPr>
          <w:sz w:val="26"/>
          <w:szCs w:val="26"/>
        </w:rPr>
        <w:t>”</w:t>
      </w:r>
      <w:r w:rsidR="000303BB" w:rsidRPr="00D1550C">
        <w:rPr>
          <w:sz w:val="26"/>
          <w:szCs w:val="26"/>
        </w:rPr>
        <w:t xml:space="preserve"> in the amount of total USD 3.</w:t>
      </w:r>
      <w:r w:rsidR="00461B09" w:rsidRPr="00461B09">
        <w:rPr>
          <w:sz w:val="26"/>
          <w:szCs w:val="26"/>
        </w:rPr>
        <w:t>3</w:t>
      </w:r>
      <w:r w:rsidR="000303BB" w:rsidRPr="00D1550C">
        <w:rPr>
          <w:sz w:val="26"/>
          <w:szCs w:val="26"/>
        </w:rPr>
        <w:t xml:space="preserve"> billion.</w:t>
      </w:r>
    </w:p>
    <w:p w:rsidR="003423F3" w:rsidRPr="00D1550C" w:rsidRDefault="003423F3" w:rsidP="003423F3">
      <w:pPr>
        <w:spacing w:before="120" w:line="288" w:lineRule="auto"/>
        <w:ind w:firstLine="709"/>
        <w:jc w:val="both"/>
        <w:rPr>
          <w:sz w:val="26"/>
          <w:szCs w:val="26"/>
        </w:rPr>
      </w:pPr>
      <w:r w:rsidRPr="00D1550C">
        <w:rPr>
          <w:sz w:val="26"/>
          <w:szCs w:val="26"/>
        </w:rPr>
        <w:t>For the 1</w:t>
      </w:r>
      <w:r w:rsidRPr="00D1550C">
        <w:rPr>
          <w:sz w:val="26"/>
          <w:szCs w:val="26"/>
          <w:vertAlign w:val="superscript"/>
        </w:rPr>
        <w:t>st</w:t>
      </w:r>
      <w:r w:rsidRPr="00D1550C">
        <w:rPr>
          <w:sz w:val="26"/>
          <w:szCs w:val="26"/>
        </w:rPr>
        <w:t xml:space="preserve"> half of 2021, the total volume of foreign assets and external liabilities of the country amounted to USD 66.1 billion and USD 48.3 billion respectively. In this regard, the net investment position of the Republic of Uzbekistan decreased by 12 </w:t>
      </w:r>
      <w:r w:rsidR="00C97ADC" w:rsidRPr="00D1550C">
        <w:rPr>
          <w:sz w:val="26"/>
          <w:szCs w:val="26"/>
        </w:rPr>
        <w:t>%</w:t>
      </w:r>
      <w:r w:rsidRPr="00D1550C">
        <w:rPr>
          <w:sz w:val="26"/>
          <w:szCs w:val="26"/>
        </w:rPr>
        <w:t xml:space="preserve"> or</w:t>
      </w:r>
      <w:r w:rsidR="00C97ADC" w:rsidRPr="00D1550C">
        <w:rPr>
          <w:sz w:val="26"/>
          <w:szCs w:val="26"/>
        </w:rPr>
        <w:t xml:space="preserve"> </w:t>
      </w:r>
      <w:r w:rsidRPr="00D1550C">
        <w:rPr>
          <w:sz w:val="26"/>
          <w:szCs w:val="26"/>
        </w:rPr>
        <w:t>USD 2.4 billion and as of July 1 of this year amounted to USD 17.8 billion</w:t>
      </w:r>
      <w:r w:rsidRPr="00D1550C">
        <w:rPr>
          <w:rFonts w:cs="Calibri"/>
          <w:sz w:val="26"/>
          <w:szCs w:val="26"/>
        </w:rPr>
        <w:t>.</w:t>
      </w:r>
    </w:p>
    <w:p w:rsidR="00491FB2" w:rsidRPr="00D1550C" w:rsidRDefault="00A920AB" w:rsidP="00491FB2">
      <w:pPr>
        <w:spacing w:before="120" w:line="288" w:lineRule="auto"/>
        <w:ind w:firstLine="709"/>
        <w:jc w:val="both"/>
        <w:rPr>
          <w:sz w:val="26"/>
          <w:szCs w:val="26"/>
        </w:rPr>
      </w:pPr>
      <w:r w:rsidRPr="00D1550C">
        <w:rPr>
          <w:sz w:val="26"/>
          <w:szCs w:val="26"/>
        </w:rPr>
        <w:t>As</w:t>
      </w:r>
      <w:r w:rsidR="00491FB2" w:rsidRPr="00D1550C">
        <w:rPr>
          <w:sz w:val="26"/>
          <w:szCs w:val="26"/>
        </w:rPr>
        <w:t xml:space="preserve"> of July 1, 2021, the total external debt of the Republic of Uzbekistan </w:t>
      </w:r>
      <w:r w:rsidRPr="00D1550C">
        <w:rPr>
          <w:sz w:val="26"/>
          <w:szCs w:val="26"/>
        </w:rPr>
        <w:t>was increased by 6% (USD 2.0</w:t>
      </w:r>
      <w:r w:rsidR="00C97ADC" w:rsidRPr="00D1550C">
        <w:rPr>
          <w:sz w:val="26"/>
          <w:szCs w:val="26"/>
        </w:rPr>
        <w:t xml:space="preserve"> </w:t>
      </w:r>
      <w:r w:rsidRPr="00D1550C">
        <w:rPr>
          <w:sz w:val="26"/>
          <w:szCs w:val="26"/>
        </w:rPr>
        <w:t xml:space="preserve">billion) and </w:t>
      </w:r>
      <w:r w:rsidR="00491FB2" w:rsidRPr="00D1550C">
        <w:rPr>
          <w:sz w:val="26"/>
          <w:szCs w:val="26"/>
        </w:rPr>
        <w:t>accounted for USD 35.9 billion (USD 33.8 billion as of January 1, 2021), of which USD 22.0 billion</w:t>
      </w:r>
      <w:r w:rsidRPr="00D1550C">
        <w:rPr>
          <w:sz w:val="26"/>
          <w:szCs w:val="26"/>
        </w:rPr>
        <w:t xml:space="preserve"> </w:t>
      </w:r>
      <w:r w:rsidR="00491FB2" w:rsidRPr="00D1550C">
        <w:rPr>
          <w:sz w:val="26"/>
          <w:szCs w:val="26"/>
        </w:rPr>
        <w:t xml:space="preserve">(which was increased by USD 627.9 million </w:t>
      </w:r>
      <w:r w:rsidR="003E18B4" w:rsidRPr="00D1550C">
        <w:rPr>
          <w:sz w:val="26"/>
          <w:szCs w:val="26"/>
        </w:rPr>
        <w:t>or 3</w:t>
      </w:r>
      <w:r w:rsidR="005009AA" w:rsidRPr="00D1550C">
        <w:rPr>
          <w:sz w:val="26"/>
          <w:szCs w:val="26"/>
        </w:rPr>
        <w:t> </w:t>
      </w:r>
      <w:r w:rsidR="003E18B4" w:rsidRPr="00D1550C">
        <w:rPr>
          <w:sz w:val="26"/>
          <w:szCs w:val="26"/>
        </w:rPr>
        <w:t xml:space="preserve">% </w:t>
      </w:r>
      <w:r w:rsidR="00491FB2" w:rsidRPr="00D1550C">
        <w:rPr>
          <w:sz w:val="26"/>
          <w:szCs w:val="26"/>
        </w:rPr>
        <w:t xml:space="preserve">relative to the beginning of the year) - government and government guaranteed external debt and </w:t>
      </w:r>
      <w:r w:rsidR="003E18B4" w:rsidRPr="00D1550C">
        <w:rPr>
          <w:sz w:val="26"/>
          <w:szCs w:val="26"/>
        </w:rPr>
        <w:br/>
      </w:r>
      <w:r w:rsidR="00491FB2" w:rsidRPr="00D1550C">
        <w:rPr>
          <w:sz w:val="26"/>
          <w:szCs w:val="26"/>
        </w:rPr>
        <w:t xml:space="preserve">USD 13.9 billion (which was increased by USD 1.4 billion </w:t>
      </w:r>
      <w:r w:rsidR="005009AA" w:rsidRPr="00D1550C">
        <w:rPr>
          <w:sz w:val="26"/>
          <w:szCs w:val="26"/>
        </w:rPr>
        <w:t xml:space="preserve">or 11 % </w:t>
      </w:r>
      <w:r w:rsidR="00491FB2" w:rsidRPr="00D1550C">
        <w:rPr>
          <w:sz w:val="26"/>
          <w:szCs w:val="26"/>
        </w:rPr>
        <w:t>realative to the beginning of the year) – non guaranteed external debt.</w:t>
      </w:r>
    </w:p>
    <w:p w:rsidR="00C125F4" w:rsidRPr="00D1550C" w:rsidRDefault="00C125F4" w:rsidP="00C125F4">
      <w:pPr>
        <w:rPr>
          <w:lang w:eastAsia="x-none"/>
        </w:rPr>
      </w:pPr>
    </w:p>
    <w:p w:rsidR="0040034D" w:rsidRPr="00D1550C" w:rsidRDefault="0040034D" w:rsidP="0040034D">
      <w:pPr>
        <w:ind w:right="111"/>
        <w:jc w:val="right"/>
        <w:rPr>
          <w:rFonts w:asciiTheme="minorHAnsi" w:hAnsiTheme="minorHAnsi" w:cstheme="minorHAnsi"/>
        </w:rPr>
        <w:sectPr w:rsidR="0040034D" w:rsidRPr="00D1550C" w:rsidSect="00477150">
          <w:footerReference w:type="first" r:id="rId19"/>
          <w:pgSz w:w="11906" w:h="16838" w:code="9"/>
          <w:pgMar w:top="1134" w:right="851" w:bottom="851" w:left="1134" w:header="709" w:footer="0" w:gutter="0"/>
          <w:cols w:space="708"/>
          <w:titlePg/>
          <w:docGrid w:linePitch="360"/>
        </w:sectPr>
      </w:pPr>
    </w:p>
    <w:p w:rsidR="00E757FD" w:rsidRPr="00D1550C" w:rsidRDefault="00AC0959" w:rsidP="00F42CD9">
      <w:pPr>
        <w:pStyle w:val="1"/>
        <w:spacing w:before="120"/>
        <w:ind w:left="709"/>
        <w:rPr>
          <w:rFonts w:ascii="Calibri" w:hAnsi="Calibri" w:cs="Calibri"/>
          <w:lang w:val="en-US"/>
        </w:rPr>
      </w:pPr>
      <w:bookmarkStart w:id="2" w:name="_Toc83291112"/>
      <w:r w:rsidRPr="00D1550C">
        <w:rPr>
          <w:rFonts w:ascii="Calibri" w:hAnsi="Calibri" w:cs="Calibri"/>
          <w:lang w:val="en-US"/>
        </w:rPr>
        <w:lastRenderedPageBreak/>
        <w:t>I. </w:t>
      </w:r>
      <w:r w:rsidR="004B3A8C" w:rsidRPr="00D1550C">
        <w:rPr>
          <w:rFonts w:ascii="Calibri" w:hAnsi="Calibri" w:cs="Calibri"/>
          <w:lang w:val="en-US"/>
        </w:rPr>
        <w:t>BALANCE OF PAYMENTS OF THE REPUBLIC OF UZBEKISTAN</w:t>
      </w:r>
      <w:r w:rsidR="00E757FD" w:rsidRPr="00D1550C">
        <w:rPr>
          <w:rFonts w:cs="Calibri"/>
          <w:i/>
          <w:noProof/>
          <w:sz w:val="22"/>
          <w:szCs w:val="22"/>
          <w:lang w:val="ru-RU" w:eastAsia="ru-RU"/>
        </w:rPr>
        <mc:AlternateContent>
          <mc:Choice Requires="wps">
            <w:drawing>
              <wp:anchor distT="0" distB="0" distL="0" distR="0" simplePos="0" relativeHeight="251669504" behindDoc="0" locked="0" layoutInCell="1" allowOverlap="1" wp14:anchorId="5243A718" wp14:editId="086E3850">
                <wp:simplePos x="0" y="0"/>
                <wp:positionH relativeFrom="page">
                  <wp:posOffset>6711950</wp:posOffset>
                </wp:positionH>
                <wp:positionV relativeFrom="page">
                  <wp:posOffset>9955530</wp:posOffset>
                </wp:positionV>
                <wp:extent cx="339725" cy="405130"/>
                <wp:effectExtent l="0" t="1905" r="0" b="2540"/>
                <wp:wrapSquare wrapText="bothSides"/>
                <wp:docPr id="48"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461B09" w:rsidRPr="00C24CE9" w:rsidRDefault="00461B09" w:rsidP="00E757FD">
                            <w:pPr>
                              <w:jc w:val="center"/>
                              <w:rPr>
                                <w:rFonts w:ascii="Times New Roman" w:hAnsi="Times New Roman"/>
                                <w:color w:val="FFFFFF"/>
                                <w:sz w:val="10"/>
                                <w:szCs w:val="10"/>
                              </w:rPr>
                            </w:pPr>
                          </w:p>
                          <w:p w:rsidR="00461B09" w:rsidRPr="00633FE0" w:rsidRDefault="00461B09"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444AD">
                              <w:rPr>
                                <w:rFonts w:cs="Calibri"/>
                                <w:noProof/>
                                <w:color w:val="FFFFFF"/>
                                <w:sz w:val="22"/>
                                <w:szCs w:val="22"/>
                              </w:rPr>
                              <w:t>6</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243A718" id="Прямоугольник 40" o:spid="_x0000_s1026" style="position:absolute;left:0;text-align:left;margin-left:528.5pt;margin-top:783.9pt;width:26.75pt;height:31.9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" fillcolor="#00b0f0" stroked="f" strokeweight="3pt">
                <v:textbox>
                  <w:txbxContent>
                    <w:p w:rsidR="00461B09" w:rsidRPr="00C24CE9" w:rsidRDefault="00461B09" w:rsidP="00E757FD">
                      <w:pPr>
                        <w:jc w:val="center"/>
                        <w:rPr>
                          <w:rFonts w:ascii="Times New Roman" w:hAnsi="Times New Roman"/>
                          <w:color w:val="FFFFFF"/>
                          <w:sz w:val="10"/>
                          <w:szCs w:val="10"/>
                        </w:rPr>
                      </w:pPr>
                    </w:p>
                    <w:p w:rsidR="00461B09" w:rsidRPr="00633FE0" w:rsidRDefault="00461B09"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444AD">
                        <w:rPr>
                          <w:rFonts w:cs="Calibri"/>
                          <w:noProof/>
                          <w:color w:val="FFFFFF"/>
                          <w:sz w:val="22"/>
                          <w:szCs w:val="22"/>
                        </w:rPr>
                        <w:t>6</w:t>
                      </w:r>
                      <w:r w:rsidRPr="00633FE0">
                        <w:rPr>
                          <w:rFonts w:cs="Calibri"/>
                          <w:color w:val="FFFFFF"/>
                          <w:sz w:val="22"/>
                          <w:szCs w:val="22"/>
                        </w:rPr>
                        <w:fldChar w:fldCharType="end"/>
                      </w:r>
                    </w:p>
                  </w:txbxContent>
                </v:textbox>
                <w10:wrap type="square" anchorx="page" anchory="page"/>
              </v:rect>
            </w:pict>
          </mc:Fallback>
        </mc:AlternateContent>
      </w:r>
      <w:bookmarkEnd w:id="2"/>
    </w:p>
    <w:p w:rsidR="00B930F8" w:rsidRPr="00D1550C" w:rsidRDefault="0078342D" w:rsidP="00E63FF5">
      <w:pPr>
        <w:pStyle w:val="1"/>
        <w:tabs>
          <w:tab w:val="center" w:pos="5315"/>
        </w:tabs>
        <w:spacing w:before="360" w:after="360" w:line="288" w:lineRule="auto"/>
        <w:ind w:left="0" w:firstLine="709"/>
        <w:rPr>
          <w:rFonts w:ascii="Calibri" w:hAnsi="Calibri"/>
          <w:szCs w:val="28"/>
          <w:lang w:val="en-US"/>
        </w:rPr>
      </w:pPr>
      <w:bookmarkStart w:id="3" w:name="_Toc83291113"/>
      <w:r w:rsidRPr="00D1550C">
        <w:rPr>
          <w:rFonts w:ascii="Calibri" w:hAnsi="Calibri"/>
          <w:szCs w:val="28"/>
          <w:lang w:val="en-US"/>
        </w:rPr>
        <w:t>CURRENT ACCOUNT</w:t>
      </w:r>
      <w:bookmarkEnd w:id="3"/>
    </w:p>
    <w:p w:rsidR="00E81664" w:rsidRPr="00D1550C" w:rsidRDefault="00E81664" w:rsidP="002173F0">
      <w:pPr>
        <w:spacing w:before="120" w:line="288" w:lineRule="auto"/>
        <w:ind w:firstLine="709"/>
        <w:jc w:val="both"/>
        <w:rPr>
          <w:rFonts w:asciiTheme="minorHAnsi" w:hAnsiTheme="minorHAnsi" w:cstheme="minorHAnsi"/>
          <w:sz w:val="26"/>
          <w:szCs w:val="26"/>
        </w:rPr>
      </w:pPr>
      <w:r w:rsidRPr="00D1550C">
        <w:rPr>
          <w:rFonts w:asciiTheme="minorHAnsi" w:hAnsiTheme="minorHAnsi" w:cstheme="minorHAnsi"/>
          <w:sz w:val="26"/>
          <w:szCs w:val="26"/>
        </w:rPr>
        <w:t xml:space="preserve">For </w:t>
      </w:r>
      <w:r w:rsidR="00FD7142" w:rsidRPr="00D1550C">
        <w:rPr>
          <w:rFonts w:asciiTheme="minorHAnsi" w:hAnsiTheme="minorHAnsi" w:cstheme="minorHAnsi"/>
          <w:sz w:val="26"/>
          <w:szCs w:val="26"/>
        </w:rPr>
        <w:t>the 1</w:t>
      </w:r>
      <w:r w:rsidR="00FD7142" w:rsidRPr="00D1550C">
        <w:rPr>
          <w:rFonts w:asciiTheme="minorHAnsi" w:hAnsiTheme="minorHAnsi" w:cstheme="minorHAnsi"/>
          <w:sz w:val="26"/>
          <w:szCs w:val="26"/>
          <w:vertAlign w:val="superscript"/>
        </w:rPr>
        <w:t>st</w:t>
      </w:r>
      <w:r w:rsidR="00E22E43" w:rsidRPr="00D1550C">
        <w:rPr>
          <w:rFonts w:asciiTheme="minorHAnsi" w:hAnsiTheme="minorHAnsi" w:cstheme="minorHAnsi"/>
          <w:sz w:val="26"/>
          <w:szCs w:val="26"/>
        </w:rPr>
        <w:t xml:space="preserve"> half</w:t>
      </w:r>
      <w:r w:rsidRPr="00D1550C">
        <w:rPr>
          <w:rFonts w:asciiTheme="minorHAnsi" w:hAnsiTheme="minorHAnsi" w:cstheme="minorHAnsi"/>
          <w:sz w:val="26"/>
          <w:szCs w:val="26"/>
        </w:rPr>
        <w:t xml:space="preserve"> of 2021</w:t>
      </w:r>
      <w:r w:rsidR="00AF5BCF" w:rsidRPr="00D1550C">
        <w:rPr>
          <w:rFonts w:asciiTheme="minorHAnsi" w:hAnsiTheme="minorHAnsi" w:cstheme="minorHAnsi"/>
          <w:sz w:val="26"/>
          <w:szCs w:val="26"/>
        </w:rPr>
        <w:t xml:space="preserve">, the </w:t>
      </w:r>
      <w:r w:rsidRPr="00D1550C">
        <w:rPr>
          <w:rFonts w:asciiTheme="minorHAnsi" w:hAnsiTheme="minorHAnsi" w:cstheme="minorHAnsi"/>
          <w:sz w:val="26"/>
          <w:szCs w:val="26"/>
        </w:rPr>
        <w:t xml:space="preserve">current account </w:t>
      </w:r>
      <w:r w:rsidR="00AF5BCF" w:rsidRPr="00D1550C">
        <w:rPr>
          <w:rFonts w:asciiTheme="minorHAnsi" w:hAnsiTheme="minorHAnsi" w:cstheme="minorHAnsi"/>
          <w:sz w:val="26"/>
          <w:szCs w:val="26"/>
        </w:rPr>
        <w:t>balance had a deficit</w:t>
      </w:r>
      <w:r w:rsidRPr="00D1550C">
        <w:rPr>
          <w:rFonts w:asciiTheme="minorHAnsi" w:hAnsiTheme="minorHAnsi" w:cstheme="minorHAnsi"/>
          <w:sz w:val="26"/>
          <w:szCs w:val="26"/>
        </w:rPr>
        <w:t xml:space="preserve"> which amounted to </w:t>
      </w:r>
      <w:r w:rsidR="00FD7142" w:rsidRPr="00D1550C">
        <w:rPr>
          <w:rFonts w:asciiTheme="minorHAnsi" w:hAnsiTheme="minorHAnsi" w:cstheme="minorHAnsi"/>
          <w:sz w:val="26"/>
          <w:szCs w:val="26"/>
        </w:rPr>
        <w:br/>
      </w:r>
      <w:r w:rsidRPr="00D1550C">
        <w:rPr>
          <w:rFonts w:asciiTheme="minorHAnsi" w:hAnsiTheme="minorHAnsi" w:cstheme="minorHAnsi"/>
          <w:sz w:val="26"/>
          <w:szCs w:val="26"/>
        </w:rPr>
        <w:t>USD 3.</w:t>
      </w:r>
      <w:r w:rsidR="00FD7142" w:rsidRPr="00D1550C">
        <w:rPr>
          <w:rFonts w:asciiTheme="minorHAnsi" w:hAnsiTheme="minorHAnsi" w:cstheme="minorHAnsi"/>
          <w:sz w:val="26"/>
          <w:szCs w:val="26"/>
        </w:rPr>
        <w:t>3</w:t>
      </w:r>
      <w:r w:rsidRPr="00D1550C">
        <w:rPr>
          <w:rFonts w:asciiTheme="minorHAnsi" w:hAnsiTheme="minorHAnsi" w:cstheme="minorHAnsi"/>
          <w:sz w:val="26"/>
          <w:szCs w:val="26"/>
        </w:rPr>
        <w:t xml:space="preserve"> </w:t>
      </w:r>
      <w:r w:rsidRPr="00D1550C">
        <w:rPr>
          <w:rFonts w:asciiTheme="minorHAnsi" w:hAnsiTheme="minorHAnsi" w:cstheme="minorHAnsi"/>
          <w:i/>
          <w:sz w:val="26"/>
          <w:szCs w:val="26"/>
        </w:rPr>
        <w:t>billion</w:t>
      </w:r>
      <w:r w:rsidRPr="00D1550C">
        <w:rPr>
          <w:rFonts w:asciiTheme="minorHAnsi" w:hAnsiTheme="minorHAnsi" w:cstheme="minorHAnsi"/>
          <w:sz w:val="26"/>
          <w:szCs w:val="26"/>
        </w:rPr>
        <w:t xml:space="preserve"> (</w:t>
      </w:r>
      <w:r w:rsidRPr="00D1550C">
        <w:rPr>
          <w:rFonts w:asciiTheme="minorHAnsi" w:hAnsiTheme="minorHAnsi" w:cstheme="minorHAnsi"/>
          <w:i/>
          <w:sz w:val="26"/>
          <w:szCs w:val="26"/>
        </w:rPr>
        <w:t xml:space="preserve">USD 1.9 billion </w:t>
      </w:r>
      <w:r w:rsidRPr="00D1550C">
        <w:rPr>
          <w:i/>
          <w:sz w:val="26"/>
          <w:szCs w:val="26"/>
        </w:rPr>
        <w:t xml:space="preserve">for </w:t>
      </w:r>
      <w:r w:rsidR="003D0936" w:rsidRPr="00D1550C">
        <w:rPr>
          <w:i/>
          <w:sz w:val="26"/>
          <w:szCs w:val="26"/>
        </w:rPr>
        <w:t xml:space="preserve">the </w:t>
      </w:r>
      <w:r w:rsidRPr="00D1550C">
        <w:rPr>
          <w:i/>
          <w:sz w:val="26"/>
          <w:szCs w:val="26"/>
        </w:rPr>
        <w:t>I half of 2020</w:t>
      </w:r>
      <w:r w:rsidRPr="00D1550C">
        <w:rPr>
          <w:rFonts w:asciiTheme="minorHAnsi" w:hAnsiTheme="minorHAnsi" w:cstheme="minorHAnsi"/>
          <w:sz w:val="26"/>
          <w:szCs w:val="26"/>
        </w:rPr>
        <w:t xml:space="preserve">). The total trade turnover in current account operations (goods and services) amounted to USD 19.6 billion, while </w:t>
      </w:r>
      <w:r w:rsidR="00AF5BCF" w:rsidRPr="00D1550C">
        <w:rPr>
          <w:rFonts w:asciiTheme="minorHAnsi" w:hAnsiTheme="minorHAnsi" w:cstheme="minorHAnsi"/>
          <w:sz w:val="26"/>
          <w:szCs w:val="26"/>
        </w:rPr>
        <w:t>primary and secondary i</w:t>
      </w:r>
      <w:r w:rsidR="002173F0" w:rsidRPr="00D1550C">
        <w:rPr>
          <w:rFonts w:asciiTheme="minorHAnsi" w:hAnsiTheme="minorHAnsi" w:cstheme="minorHAnsi"/>
          <w:sz w:val="26"/>
          <w:szCs w:val="26"/>
        </w:rPr>
        <w:t>ncome amounted to USD 5</w:t>
      </w:r>
      <w:r w:rsidR="00D1550C" w:rsidRPr="00D1550C">
        <w:rPr>
          <w:rFonts w:asciiTheme="minorHAnsi" w:hAnsiTheme="minorHAnsi" w:cstheme="minorHAnsi"/>
          <w:sz w:val="26"/>
          <w:szCs w:val="26"/>
        </w:rPr>
        <w:t>.</w:t>
      </w:r>
      <w:r w:rsidR="002173F0" w:rsidRPr="00D1550C">
        <w:rPr>
          <w:rFonts w:asciiTheme="minorHAnsi" w:hAnsiTheme="minorHAnsi" w:cstheme="minorHAnsi"/>
          <w:sz w:val="26"/>
          <w:szCs w:val="26"/>
        </w:rPr>
        <w:t>0 billion.</w:t>
      </w:r>
    </w:p>
    <w:p w:rsidR="00E81664" w:rsidRPr="00D1550C" w:rsidRDefault="00643605" w:rsidP="00783550">
      <w:pPr>
        <w:spacing w:before="120" w:line="288" w:lineRule="auto"/>
        <w:ind w:firstLine="708"/>
        <w:jc w:val="both"/>
        <w:rPr>
          <w:rFonts w:asciiTheme="minorHAnsi" w:hAnsiTheme="minorHAnsi" w:cstheme="minorHAnsi"/>
          <w:sz w:val="26"/>
          <w:szCs w:val="26"/>
        </w:rPr>
      </w:pPr>
      <w:r w:rsidRPr="00D1550C">
        <w:rPr>
          <w:rFonts w:asciiTheme="minorHAnsi" w:hAnsiTheme="minorHAnsi" w:cstheme="minorHAnsi"/>
          <w:sz w:val="26"/>
          <w:szCs w:val="26"/>
        </w:rPr>
        <w:t>Despite</w:t>
      </w:r>
      <w:r w:rsidR="0058162E" w:rsidRPr="00D1550C">
        <w:rPr>
          <w:rFonts w:asciiTheme="minorHAnsi" w:hAnsiTheme="minorHAnsi" w:cstheme="minorHAnsi"/>
          <w:sz w:val="26"/>
          <w:szCs w:val="26"/>
        </w:rPr>
        <w:t>,</w:t>
      </w:r>
      <w:r w:rsidR="00783550" w:rsidRPr="00D1550C">
        <w:rPr>
          <w:rFonts w:asciiTheme="minorHAnsi" w:hAnsiTheme="minorHAnsi" w:cstheme="minorHAnsi"/>
          <w:sz w:val="26"/>
          <w:szCs w:val="26"/>
        </w:rPr>
        <w:t xml:space="preserve"> a significant</w:t>
      </w:r>
      <w:r w:rsidR="00E81664" w:rsidRPr="00D1550C">
        <w:rPr>
          <w:rFonts w:asciiTheme="minorHAnsi" w:hAnsiTheme="minorHAnsi" w:cstheme="minorHAnsi"/>
          <w:sz w:val="26"/>
          <w:szCs w:val="26"/>
        </w:rPr>
        <w:t xml:space="preserve"> increase in the volume of exports</w:t>
      </w:r>
      <w:r w:rsidR="00783550" w:rsidRPr="00D1550C">
        <w:rPr>
          <w:rFonts w:asciiTheme="minorHAnsi" w:hAnsiTheme="minorHAnsi" w:cstheme="minorHAnsi"/>
          <w:sz w:val="26"/>
          <w:szCs w:val="26"/>
        </w:rPr>
        <w:t xml:space="preserve"> of goods (</w:t>
      </w:r>
      <w:r w:rsidR="00D1550C" w:rsidRPr="00D1550C">
        <w:rPr>
          <w:rFonts w:asciiTheme="minorHAnsi" w:hAnsiTheme="minorHAnsi" w:cstheme="minorHAnsi"/>
          <w:sz w:val="26"/>
          <w:szCs w:val="26"/>
        </w:rPr>
        <w:t xml:space="preserve">excluding </w:t>
      </w:r>
      <w:r w:rsidR="00783550" w:rsidRPr="00D1550C">
        <w:rPr>
          <w:rFonts w:asciiTheme="minorHAnsi" w:hAnsiTheme="minorHAnsi" w:cstheme="minorHAnsi"/>
          <w:sz w:val="26"/>
          <w:szCs w:val="26"/>
        </w:rPr>
        <w:t>gold exports) and</w:t>
      </w:r>
      <w:r w:rsidR="00E81664" w:rsidRPr="00D1550C">
        <w:rPr>
          <w:rFonts w:asciiTheme="minorHAnsi" w:hAnsiTheme="minorHAnsi" w:cstheme="minorHAnsi"/>
          <w:sz w:val="26"/>
          <w:szCs w:val="26"/>
        </w:rPr>
        <w:t xml:space="preserve"> cross-border remittances</w:t>
      </w:r>
      <w:r w:rsidR="00783550" w:rsidRPr="00D1550C">
        <w:rPr>
          <w:rFonts w:asciiTheme="minorHAnsi" w:hAnsiTheme="minorHAnsi" w:cstheme="minorHAnsi"/>
          <w:sz w:val="26"/>
          <w:szCs w:val="26"/>
        </w:rPr>
        <w:t xml:space="preserve">, </w:t>
      </w:r>
      <w:r w:rsidR="0058338F" w:rsidRPr="00D1550C">
        <w:rPr>
          <w:rFonts w:asciiTheme="minorHAnsi" w:hAnsiTheme="minorHAnsi" w:cstheme="minorHAnsi"/>
          <w:sz w:val="26"/>
          <w:szCs w:val="26"/>
        </w:rPr>
        <w:t>intensive</w:t>
      </w:r>
      <w:r w:rsidR="00A71A4C" w:rsidRPr="00D1550C">
        <w:rPr>
          <w:rFonts w:asciiTheme="minorHAnsi" w:hAnsiTheme="minorHAnsi" w:cstheme="minorHAnsi"/>
          <w:sz w:val="26"/>
          <w:szCs w:val="26"/>
        </w:rPr>
        <w:t xml:space="preserve"> growth of import</w:t>
      </w:r>
      <w:r w:rsidR="00783550" w:rsidRPr="00D1550C">
        <w:rPr>
          <w:rFonts w:asciiTheme="minorHAnsi" w:hAnsiTheme="minorHAnsi" w:cstheme="minorHAnsi"/>
          <w:sz w:val="26"/>
          <w:szCs w:val="26"/>
        </w:rPr>
        <w:t xml:space="preserve">s </w:t>
      </w:r>
      <w:r w:rsidR="00D1550C" w:rsidRPr="00D1550C">
        <w:rPr>
          <w:rFonts w:asciiTheme="minorHAnsi" w:hAnsiTheme="minorHAnsi" w:cstheme="minorHAnsi"/>
          <w:sz w:val="26"/>
          <w:szCs w:val="26"/>
        </w:rPr>
        <w:t>was the</w:t>
      </w:r>
      <w:r w:rsidR="00783550" w:rsidRPr="00D1550C">
        <w:rPr>
          <w:rFonts w:asciiTheme="minorHAnsi" w:hAnsiTheme="minorHAnsi" w:cstheme="minorHAnsi"/>
          <w:sz w:val="26"/>
          <w:szCs w:val="26"/>
        </w:rPr>
        <w:t xml:space="preserve"> </w:t>
      </w:r>
      <w:r w:rsidR="00E81664" w:rsidRPr="00D1550C">
        <w:rPr>
          <w:sz w:val="26"/>
          <w:szCs w:val="26"/>
        </w:rPr>
        <w:t xml:space="preserve">main reason for the formation current account deficit. </w:t>
      </w:r>
      <w:r w:rsidR="00E81664" w:rsidRPr="00D1550C">
        <w:rPr>
          <w:color w:val="4472C4" w:themeColor="accent5"/>
          <w:sz w:val="26"/>
          <w:szCs w:val="26"/>
        </w:rPr>
        <w:t>(Figure 1).</w:t>
      </w:r>
    </w:p>
    <w:p w:rsidR="00F15C52" w:rsidRPr="00D1550C" w:rsidRDefault="00B23450" w:rsidP="00C2359D">
      <w:pPr>
        <w:jc w:val="right"/>
      </w:pPr>
      <w:r w:rsidRPr="00D1550C">
        <w:t>Figure</w:t>
      </w:r>
      <w:r w:rsidR="00190975" w:rsidRPr="00D1550C">
        <w:t xml:space="preserve"> </w:t>
      </w:r>
      <w:r w:rsidR="005F0877" w:rsidRPr="00D1550C">
        <w:t>1</w:t>
      </w:r>
    </w:p>
    <w:p w:rsidR="00C2359D" w:rsidRPr="00D1550C" w:rsidRDefault="00C2359D" w:rsidP="00C2359D">
      <w:pPr>
        <w:jc w:val="right"/>
      </w:pPr>
    </w:p>
    <w:p w:rsidR="00707B5E" w:rsidRPr="00D1550C" w:rsidRDefault="008F4568" w:rsidP="00C53556">
      <w:pPr>
        <w:spacing w:line="288" w:lineRule="auto"/>
        <w:jc w:val="center"/>
        <w:rPr>
          <w:rFonts w:cs="Calibri"/>
          <w:i/>
          <w:sz w:val="28"/>
          <w:szCs w:val="28"/>
        </w:rPr>
      </w:pPr>
      <w:r w:rsidRPr="00D1550C">
        <w:rPr>
          <w:rFonts w:cs="Calibri"/>
          <w:b/>
          <w:sz w:val="28"/>
          <w:szCs w:val="28"/>
        </w:rPr>
        <w:t>BALANCES OF CURRENT ACCOUNT COMPONENTS</w:t>
      </w:r>
    </w:p>
    <w:p w:rsidR="00C53556" w:rsidRPr="00D1550C" w:rsidRDefault="00C53556" w:rsidP="00C53556">
      <w:pPr>
        <w:spacing w:line="288" w:lineRule="auto"/>
        <w:jc w:val="right"/>
        <w:rPr>
          <w:rFonts w:cs="Calibri"/>
          <w:i/>
          <w:sz w:val="20"/>
          <w:szCs w:val="20"/>
        </w:rPr>
      </w:pPr>
      <w:r w:rsidRPr="00D1550C">
        <w:rPr>
          <w:rFonts w:cs="Calibri"/>
          <w:i/>
          <w:sz w:val="20"/>
          <w:szCs w:val="20"/>
        </w:rPr>
        <w:t>(</w:t>
      </w:r>
      <w:r w:rsidR="001A43D7" w:rsidRPr="00D1550C">
        <w:rPr>
          <w:rFonts w:cs="Calibri"/>
          <w:i/>
          <w:sz w:val="20"/>
          <w:szCs w:val="20"/>
        </w:rPr>
        <w:t xml:space="preserve">mln. </w:t>
      </w:r>
      <w:r w:rsidRPr="00D1550C">
        <w:rPr>
          <w:rFonts w:cs="Calibri"/>
          <w:i/>
          <w:sz w:val="20"/>
          <w:szCs w:val="20"/>
        </w:rPr>
        <w:t>USD)</w:t>
      </w:r>
    </w:p>
    <w:p w:rsidR="00E45B56" w:rsidRPr="00D1550C" w:rsidRDefault="00B0318E" w:rsidP="00B3481D">
      <w:pPr>
        <w:spacing w:line="288" w:lineRule="auto"/>
        <w:rPr>
          <w:rFonts w:cs="Arial"/>
          <w:i/>
        </w:rPr>
      </w:pPr>
      <w:r w:rsidRPr="00D1550C">
        <w:rPr>
          <w:noProof/>
          <w:lang w:val="ru-RU"/>
        </w:rPr>
        <w:drawing>
          <wp:inline distT="0" distB="0" distL="0" distR="0" wp14:anchorId="11F04ECD" wp14:editId="79002979">
            <wp:extent cx="6299835" cy="3964305"/>
            <wp:effectExtent l="0" t="0" r="5715" b="1714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15E9" w:rsidRPr="00D1550C" w:rsidRDefault="005415E9" w:rsidP="00B3481D">
      <w:pPr>
        <w:spacing w:line="288" w:lineRule="auto"/>
        <w:ind w:firstLine="709"/>
        <w:jc w:val="both"/>
      </w:pPr>
    </w:p>
    <w:p w:rsidR="00D34C2F" w:rsidRPr="00D1550C" w:rsidRDefault="00D34C2F" w:rsidP="00D34C2F">
      <w:pPr>
        <w:spacing w:before="120" w:line="288" w:lineRule="auto"/>
        <w:ind w:firstLine="709"/>
        <w:jc w:val="both"/>
        <w:rPr>
          <w:rFonts w:asciiTheme="minorHAnsi" w:hAnsiTheme="minorHAnsi" w:cstheme="minorHAnsi"/>
          <w:sz w:val="26"/>
          <w:szCs w:val="26"/>
        </w:rPr>
      </w:pPr>
      <w:r w:rsidRPr="00D1550C">
        <w:rPr>
          <w:sz w:val="26"/>
          <w:szCs w:val="26"/>
        </w:rPr>
        <w:t xml:space="preserve">In the </w:t>
      </w:r>
      <w:r w:rsidR="00243C07" w:rsidRPr="00D1550C">
        <w:rPr>
          <w:sz w:val="26"/>
          <w:szCs w:val="26"/>
        </w:rPr>
        <w:t>1</w:t>
      </w:r>
      <w:r w:rsidR="00243C07" w:rsidRPr="00D1550C">
        <w:rPr>
          <w:sz w:val="26"/>
          <w:szCs w:val="26"/>
          <w:vertAlign w:val="superscript"/>
        </w:rPr>
        <w:t>st</w:t>
      </w:r>
      <w:r w:rsidRPr="00D1550C">
        <w:rPr>
          <w:sz w:val="26"/>
          <w:szCs w:val="26"/>
        </w:rPr>
        <w:t xml:space="preserve"> half of 2021, current acco</w:t>
      </w:r>
      <w:r w:rsidR="00D1550C" w:rsidRPr="00D1550C">
        <w:rPr>
          <w:sz w:val="26"/>
          <w:szCs w:val="26"/>
        </w:rPr>
        <w:t>u</w:t>
      </w:r>
      <w:r w:rsidRPr="00D1550C">
        <w:rPr>
          <w:sz w:val="26"/>
          <w:szCs w:val="26"/>
        </w:rPr>
        <w:t xml:space="preserve">nt </w:t>
      </w:r>
      <w:r w:rsidR="0013000D" w:rsidRPr="00D1550C">
        <w:rPr>
          <w:sz w:val="26"/>
          <w:szCs w:val="26"/>
        </w:rPr>
        <w:t>income increased by 12.7</w:t>
      </w:r>
      <w:r w:rsidR="00602FCF" w:rsidRPr="00D1550C">
        <w:rPr>
          <w:sz w:val="26"/>
          <w:szCs w:val="26"/>
        </w:rPr>
        <w:t>%, at the same time</w:t>
      </w:r>
      <w:r w:rsidRPr="00D1550C">
        <w:rPr>
          <w:sz w:val="26"/>
          <w:szCs w:val="26"/>
        </w:rPr>
        <w:t xml:space="preserve"> expences </w:t>
      </w:r>
      <w:r w:rsidR="00505D79" w:rsidRPr="00D1550C">
        <w:rPr>
          <w:sz w:val="26"/>
          <w:szCs w:val="26"/>
        </w:rPr>
        <w:t>increased by 22.6</w:t>
      </w:r>
      <w:r w:rsidRPr="00D1550C">
        <w:rPr>
          <w:sz w:val="26"/>
          <w:szCs w:val="26"/>
        </w:rPr>
        <w:t xml:space="preserve">% compared to the same indicators of the corresponding period of the previous year. </w:t>
      </w:r>
      <w:r w:rsidRPr="00D1550C">
        <w:rPr>
          <w:rFonts w:cs="Calibri"/>
          <w:color w:val="0070C0"/>
          <w:sz w:val="26"/>
          <w:szCs w:val="26"/>
        </w:rPr>
        <w:t>(Table 1).</w:t>
      </w:r>
    </w:p>
    <w:p w:rsidR="00A7596A" w:rsidRPr="00D1550C" w:rsidRDefault="00A7596A" w:rsidP="00A7596A">
      <w:pPr>
        <w:tabs>
          <w:tab w:val="left" w:pos="1560"/>
        </w:tabs>
        <w:spacing w:before="120" w:line="288" w:lineRule="auto"/>
        <w:ind w:firstLine="709"/>
        <w:jc w:val="both"/>
        <w:rPr>
          <w:sz w:val="26"/>
          <w:szCs w:val="26"/>
          <w:highlight w:val="yellow"/>
        </w:rPr>
        <w:sectPr w:rsidR="00A7596A" w:rsidRPr="00D1550C" w:rsidSect="00477150">
          <w:pgSz w:w="11906" w:h="16838" w:code="9"/>
          <w:pgMar w:top="1134" w:right="851" w:bottom="851" w:left="1134" w:header="709" w:footer="0" w:gutter="0"/>
          <w:cols w:space="708"/>
          <w:titlePg/>
          <w:docGrid w:linePitch="360"/>
        </w:sectPr>
      </w:pPr>
    </w:p>
    <w:p w:rsidR="00A7596A" w:rsidRPr="00D1550C" w:rsidRDefault="00A7596A" w:rsidP="00A7596A">
      <w:pPr>
        <w:jc w:val="right"/>
      </w:pPr>
      <w:r w:rsidRPr="00D1550C">
        <w:lastRenderedPageBreak/>
        <w:t>Table</w:t>
      </w:r>
      <w:r w:rsidR="0042287F" w:rsidRPr="00D1550C">
        <w:t xml:space="preserve"> </w:t>
      </w:r>
      <w:r w:rsidR="00D45947" w:rsidRPr="00D1550C">
        <w:t>1</w:t>
      </w:r>
    </w:p>
    <w:p w:rsidR="00EC4C61" w:rsidRPr="00D1550C" w:rsidRDefault="00EC4C61" w:rsidP="00DD03DB">
      <w:pPr>
        <w:spacing w:before="120"/>
        <w:jc w:val="center"/>
        <w:rPr>
          <w:b/>
          <w:sz w:val="28"/>
          <w:szCs w:val="28"/>
        </w:rPr>
      </w:pPr>
      <w:r w:rsidRPr="00D1550C">
        <w:rPr>
          <w:b/>
          <w:sz w:val="28"/>
          <w:szCs w:val="28"/>
        </w:rPr>
        <w:t>STRUCTURE OF CURRENT INCOME AND CURRENT EXPENSES</w:t>
      </w:r>
    </w:p>
    <w:p w:rsidR="00D45947" w:rsidRPr="00D1550C" w:rsidRDefault="00EC4C61" w:rsidP="00DD03DB">
      <w:pPr>
        <w:spacing w:before="120"/>
        <w:jc w:val="right"/>
        <w:rPr>
          <w:i/>
        </w:rPr>
      </w:pPr>
      <w:r w:rsidRPr="00D1550C">
        <w:rPr>
          <w:i/>
        </w:rPr>
        <w:t xml:space="preserve"> </w:t>
      </w:r>
      <w:r w:rsidR="00A7596A" w:rsidRPr="00D1550C">
        <w:rPr>
          <w:i/>
        </w:rPr>
        <w:t>(</w:t>
      </w:r>
      <w:r w:rsidR="008B5C2D" w:rsidRPr="00D1550C">
        <w:rPr>
          <w:i/>
        </w:rPr>
        <w:t>mln</w:t>
      </w:r>
      <w:r w:rsidR="00A7596A" w:rsidRPr="00D1550C">
        <w:rPr>
          <w:i/>
        </w:rPr>
        <w:t xml:space="preserve">. </w:t>
      </w:r>
      <w:r w:rsidR="008B5C2D" w:rsidRPr="00D1550C">
        <w:rPr>
          <w:i/>
        </w:rPr>
        <w:t>doll</w:t>
      </w:r>
      <w:r w:rsidR="00A7596A" w:rsidRPr="00D1550C">
        <w:rPr>
          <w:i/>
        </w:rPr>
        <w:t>.)</w:t>
      </w:r>
    </w:p>
    <w:tbl>
      <w:tblPr>
        <w:tblW w:w="15037" w:type="dxa"/>
        <w:tblInd w:w="-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84"/>
        <w:gridCol w:w="1237"/>
        <w:gridCol w:w="1237"/>
        <w:gridCol w:w="1237"/>
        <w:gridCol w:w="1237"/>
        <w:gridCol w:w="1237"/>
        <w:gridCol w:w="1068"/>
        <w:gridCol w:w="1153"/>
        <w:gridCol w:w="1093"/>
        <w:gridCol w:w="1226"/>
        <w:gridCol w:w="1428"/>
      </w:tblGrid>
      <w:tr w:rsidR="00461B09" w:rsidRPr="00D1550C" w:rsidTr="00461B09">
        <w:trPr>
          <w:trHeight w:val="495"/>
        </w:trPr>
        <w:tc>
          <w:tcPr>
            <w:tcW w:w="2884" w:type="dxa"/>
            <w:vMerge w:val="restart"/>
            <w:shd w:val="clear" w:color="000000" w:fill="BDD6EE"/>
            <w:noWrap/>
            <w:vAlign w:val="center"/>
            <w:hideMark/>
          </w:tcPr>
          <w:p w:rsidR="00461B09" w:rsidRPr="00D1550C" w:rsidRDefault="00461B09" w:rsidP="00B0318E">
            <w:pPr>
              <w:jc w:val="center"/>
              <w:rPr>
                <w:rFonts w:cs="Calibri"/>
                <w:b/>
                <w:bCs/>
                <w:color w:val="000000"/>
                <w:sz w:val="20"/>
                <w:szCs w:val="20"/>
              </w:rPr>
            </w:pPr>
            <w:r w:rsidRPr="00D1550C">
              <w:rPr>
                <w:rFonts w:cs="Calibri"/>
                <w:b/>
                <w:bCs/>
                <w:color w:val="000000"/>
                <w:sz w:val="20"/>
                <w:szCs w:val="20"/>
              </w:rPr>
              <w:t>Indicators</w:t>
            </w:r>
          </w:p>
        </w:tc>
        <w:tc>
          <w:tcPr>
            <w:tcW w:w="1237" w:type="dxa"/>
            <w:vMerge w:val="restart"/>
            <w:shd w:val="clear" w:color="000000" w:fill="BDD6EE"/>
            <w:vAlign w:val="center"/>
            <w:hideMark/>
          </w:tcPr>
          <w:p w:rsidR="00461B09" w:rsidRPr="00D1550C" w:rsidRDefault="00461B09" w:rsidP="00B0318E">
            <w:pPr>
              <w:jc w:val="center"/>
              <w:rPr>
                <w:rFonts w:cs="Calibri"/>
                <w:b/>
                <w:bCs/>
                <w:color w:val="000000"/>
                <w:sz w:val="20"/>
                <w:szCs w:val="20"/>
              </w:rPr>
            </w:pPr>
            <w:r w:rsidRPr="00D1550C">
              <w:rPr>
                <w:rFonts w:cs="Calibri"/>
                <w:b/>
                <w:bCs/>
                <w:color w:val="000000"/>
                <w:sz w:val="20"/>
                <w:szCs w:val="20"/>
              </w:rPr>
              <w:t>2019</w:t>
            </w:r>
          </w:p>
        </w:tc>
        <w:tc>
          <w:tcPr>
            <w:tcW w:w="1237" w:type="dxa"/>
            <w:vMerge w:val="restart"/>
            <w:shd w:val="clear" w:color="000000" w:fill="BDD6EE"/>
            <w:vAlign w:val="center"/>
            <w:hideMark/>
          </w:tcPr>
          <w:p w:rsidR="00461B09" w:rsidRPr="00D1550C" w:rsidRDefault="00461B09" w:rsidP="00B0318E">
            <w:pPr>
              <w:jc w:val="center"/>
              <w:rPr>
                <w:rFonts w:cs="Calibri"/>
                <w:b/>
                <w:bCs/>
                <w:color w:val="000000"/>
                <w:sz w:val="20"/>
                <w:szCs w:val="20"/>
              </w:rPr>
            </w:pPr>
            <w:r w:rsidRPr="00D1550C">
              <w:rPr>
                <w:rFonts w:cs="Calibri"/>
                <w:b/>
                <w:bCs/>
                <w:color w:val="000000"/>
                <w:sz w:val="20"/>
                <w:szCs w:val="20"/>
              </w:rPr>
              <w:t>2020</w:t>
            </w:r>
          </w:p>
        </w:tc>
        <w:tc>
          <w:tcPr>
            <w:tcW w:w="4779" w:type="dxa"/>
            <w:gridSpan w:val="4"/>
            <w:shd w:val="clear" w:color="000000" w:fill="BDD6EE"/>
            <w:vAlign w:val="center"/>
            <w:hideMark/>
          </w:tcPr>
          <w:p w:rsidR="00461B09" w:rsidRPr="00D1550C" w:rsidRDefault="00461B09" w:rsidP="00B0318E">
            <w:pPr>
              <w:jc w:val="center"/>
              <w:rPr>
                <w:rFonts w:cs="Calibri"/>
                <w:b/>
                <w:bCs/>
                <w:color w:val="000000"/>
                <w:sz w:val="20"/>
                <w:szCs w:val="20"/>
              </w:rPr>
            </w:pPr>
            <w:r w:rsidRPr="00D1550C">
              <w:rPr>
                <w:rFonts w:cs="Calibri"/>
                <w:b/>
                <w:bCs/>
                <w:color w:val="000000"/>
                <w:sz w:val="20"/>
                <w:szCs w:val="20"/>
              </w:rPr>
              <w:t>2020</w:t>
            </w:r>
          </w:p>
        </w:tc>
        <w:tc>
          <w:tcPr>
            <w:tcW w:w="1153" w:type="dxa"/>
            <w:vMerge w:val="restart"/>
            <w:shd w:val="clear" w:color="000000" w:fill="BDD6EE"/>
            <w:vAlign w:val="center"/>
          </w:tcPr>
          <w:p w:rsidR="00461B09" w:rsidRPr="00D1550C" w:rsidRDefault="00461B09" w:rsidP="00B0318E">
            <w:pPr>
              <w:jc w:val="center"/>
              <w:rPr>
                <w:rFonts w:cs="Calibri"/>
                <w:b/>
                <w:bCs/>
                <w:color w:val="000000"/>
                <w:sz w:val="20"/>
                <w:szCs w:val="20"/>
              </w:rPr>
            </w:pPr>
            <w:r>
              <w:rPr>
                <w:rFonts w:cs="Calibri"/>
                <w:b/>
                <w:bCs/>
                <w:color w:val="000000"/>
                <w:sz w:val="20"/>
                <w:szCs w:val="20"/>
              </w:rPr>
              <w:t>2021</w:t>
            </w:r>
          </w:p>
        </w:tc>
        <w:tc>
          <w:tcPr>
            <w:tcW w:w="2319" w:type="dxa"/>
            <w:gridSpan w:val="2"/>
            <w:shd w:val="clear" w:color="000000" w:fill="BDD6EE"/>
            <w:vAlign w:val="center"/>
            <w:hideMark/>
          </w:tcPr>
          <w:p w:rsidR="00461B09" w:rsidRPr="00D1550C" w:rsidRDefault="00461B09" w:rsidP="00B0318E">
            <w:pPr>
              <w:jc w:val="center"/>
              <w:rPr>
                <w:rFonts w:cs="Calibri"/>
                <w:b/>
                <w:bCs/>
                <w:color w:val="000000"/>
                <w:sz w:val="20"/>
                <w:szCs w:val="20"/>
              </w:rPr>
            </w:pPr>
            <w:r w:rsidRPr="00D1550C">
              <w:rPr>
                <w:rFonts w:cs="Calibri"/>
                <w:b/>
                <w:bCs/>
                <w:color w:val="000000"/>
                <w:sz w:val="20"/>
                <w:szCs w:val="20"/>
              </w:rPr>
              <w:t>2021</w:t>
            </w:r>
          </w:p>
        </w:tc>
        <w:tc>
          <w:tcPr>
            <w:tcW w:w="1428" w:type="dxa"/>
            <w:vMerge w:val="restart"/>
            <w:shd w:val="clear" w:color="000000" w:fill="BDD6EE"/>
            <w:vAlign w:val="center"/>
            <w:hideMark/>
          </w:tcPr>
          <w:p w:rsidR="00461B09" w:rsidRPr="00D1550C" w:rsidRDefault="00461B09" w:rsidP="00043411">
            <w:pPr>
              <w:jc w:val="center"/>
              <w:rPr>
                <w:rFonts w:cs="Calibri"/>
                <w:b/>
                <w:bCs/>
                <w:color w:val="000000"/>
                <w:sz w:val="20"/>
                <w:szCs w:val="20"/>
              </w:rPr>
            </w:pPr>
            <w:r w:rsidRPr="00D1550C">
              <w:rPr>
                <w:rFonts w:cs="Calibri"/>
                <w:b/>
                <w:bCs/>
                <w:color w:val="000000"/>
                <w:sz w:val="20"/>
                <w:szCs w:val="20"/>
              </w:rPr>
              <w:t xml:space="preserve">Changes </w:t>
            </w:r>
            <w:r w:rsidRPr="00D1550C">
              <w:rPr>
                <w:rFonts w:cs="Calibri"/>
                <w:b/>
                <w:bCs/>
                <w:color w:val="000000"/>
                <w:sz w:val="20"/>
                <w:szCs w:val="20"/>
              </w:rPr>
              <w:br/>
              <w:t>(in regard for the 1</w:t>
            </w:r>
            <w:r w:rsidRPr="00D1550C">
              <w:rPr>
                <w:rFonts w:cs="Calibri"/>
                <w:b/>
                <w:bCs/>
                <w:color w:val="000000"/>
                <w:sz w:val="20"/>
                <w:szCs w:val="20"/>
                <w:vertAlign w:val="superscript"/>
              </w:rPr>
              <w:t>st</w:t>
            </w:r>
            <w:r w:rsidRPr="00D1550C">
              <w:rPr>
                <w:rFonts w:cs="Calibri"/>
                <w:b/>
                <w:bCs/>
                <w:color w:val="000000"/>
                <w:sz w:val="20"/>
                <w:szCs w:val="20"/>
              </w:rPr>
              <w:t xml:space="preserve"> half of 2020)</w:t>
            </w:r>
          </w:p>
        </w:tc>
      </w:tr>
      <w:tr w:rsidR="00461B09" w:rsidRPr="00D1550C" w:rsidTr="00461B09">
        <w:trPr>
          <w:trHeight w:val="484"/>
        </w:trPr>
        <w:tc>
          <w:tcPr>
            <w:tcW w:w="2884" w:type="dxa"/>
            <w:vMerge/>
            <w:vAlign w:val="center"/>
            <w:hideMark/>
          </w:tcPr>
          <w:p w:rsidR="00461B09" w:rsidRPr="00D1550C" w:rsidRDefault="00461B09" w:rsidP="00461B09">
            <w:pPr>
              <w:rPr>
                <w:rFonts w:cs="Calibri"/>
                <w:b/>
                <w:bCs/>
                <w:color w:val="000000"/>
                <w:sz w:val="20"/>
                <w:szCs w:val="20"/>
              </w:rPr>
            </w:pPr>
          </w:p>
        </w:tc>
        <w:tc>
          <w:tcPr>
            <w:tcW w:w="1237" w:type="dxa"/>
            <w:vMerge/>
            <w:vAlign w:val="center"/>
            <w:hideMark/>
          </w:tcPr>
          <w:p w:rsidR="00461B09" w:rsidRPr="00D1550C" w:rsidRDefault="00461B09" w:rsidP="00461B09">
            <w:pPr>
              <w:rPr>
                <w:rFonts w:cs="Calibri"/>
                <w:b/>
                <w:bCs/>
                <w:color w:val="000000"/>
                <w:sz w:val="20"/>
                <w:szCs w:val="20"/>
              </w:rPr>
            </w:pPr>
          </w:p>
        </w:tc>
        <w:tc>
          <w:tcPr>
            <w:tcW w:w="1237" w:type="dxa"/>
            <w:vMerge/>
            <w:vAlign w:val="center"/>
            <w:hideMark/>
          </w:tcPr>
          <w:p w:rsidR="00461B09" w:rsidRPr="00D1550C" w:rsidRDefault="00461B09" w:rsidP="00461B09">
            <w:pPr>
              <w:rPr>
                <w:rFonts w:cs="Calibri"/>
                <w:b/>
                <w:bCs/>
                <w:color w:val="000000"/>
                <w:sz w:val="20"/>
                <w:szCs w:val="20"/>
              </w:rPr>
            </w:pPr>
          </w:p>
        </w:tc>
        <w:tc>
          <w:tcPr>
            <w:tcW w:w="1237" w:type="dxa"/>
            <w:shd w:val="clear" w:color="000000" w:fill="BDD6EE"/>
            <w:vAlign w:val="center"/>
            <w:hideMark/>
          </w:tcPr>
          <w:p w:rsidR="00461B09" w:rsidRPr="00D1550C" w:rsidRDefault="00461B09" w:rsidP="00461B09">
            <w:pPr>
              <w:jc w:val="center"/>
              <w:rPr>
                <w:rFonts w:cs="Calibri"/>
                <w:b/>
                <w:bCs/>
                <w:color w:val="000000"/>
                <w:sz w:val="20"/>
                <w:szCs w:val="20"/>
              </w:rPr>
            </w:pPr>
            <w:r>
              <w:rPr>
                <w:rFonts w:cs="Calibri"/>
                <w:b/>
                <w:bCs/>
                <w:color w:val="000000"/>
                <w:sz w:val="20"/>
                <w:szCs w:val="20"/>
              </w:rPr>
              <w:t>Q1</w:t>
            </w:r>
            <w:r w:rsidRPr="00D1550C">
              <w:rPr>
                <w:rFonts w:cs="Calibri"/>
                <w:b/>
                <w:bCs/>
                <w:color w:val="000000"/>
                <w:sz w:val="20"/>
                <w:szCs w:val="20"/>
              </w:rPr>
              <w:t>.</w:t>
            </w:r>
          </w:p>
        </w:tc>
        <w:tc>
          <w:tcPr>
            <w:tcW w:w="1237" w:type="dxa"/>
            <w:shd w:val="clear" w:color="000000" w:fill="BDD6EE"/>
            <w:vAlign w:val="center"/>
            <w:hideMark/>
          </w:tcPr>
          <w:p w:rsidR="00461B09" w:rsidRPr="00D1550C" w:rsidRDefault="00461B09" w:rsidP="00461B09">
            <w:pPr>
              <w:jc w:val="center"/>
              <w:rPr>
                <w:rFonts w:cs="Calibri"/>
                <w:b/>
                <w:bCs/>
                <w:color w:val="000000"/>
                <w:sz w:val="20"/>
                <w:szCs w:val="20"/>
              </w:rPr>
            </w:pPr>
            <w:r>
              <w:rPr>
                <w:rFonts w:cs="Calibri"/>
                <w:b/>
                <w:bCs/>
                <w:color w:val="000000"/>
                <w:sz w:val="20"/>
                <w:szCs w:val="20"/>
              </w:rPr>
              <w:t>Q2</w:t>
            </w:r>
          </w:p>
        </w:tc>
        <w:tc>
          <w:tcPr>
            <w:tcW w:w="1237" w:type="dxa"/>
            <w:shd w:val="clear" w:color="000000" w:fill="BDD6EE"/>
            <w:vAlign w:val="center"/>
            <w:hideMark/>
          </w:tcPr>
          <w:p w:rsidR="00461B09" w:rsidRPr="00D1550C" w:rsidRDefault="00461B09" w:rsidP="00461B09">
            <w:pPr>
              <w:jc w:val="center"/>
              <w:rPr>
                <w:rFonts w:cs="Calibri"/>
                <w:b/>
                <w:bCs/>
                <w:color w:val="000000"/>
                <w:sz w:val="20"/>
                <w:szCs w:val="20"/>
              </w:rPr>
            </w:pPr>
            <w:r>
              <w:rPr>
                <w:rFonts w:cs="Calibri"/>
                <w:b/>
                <w:bCs/>
                <w:color w:val="000000"/>
                <w:sz w:val="20"/>
                <w:szCs w:val="20"/>
              </w:rPr>
              <w:t>Q3</w:t>
            </w:r>
          </w:p>
        </w:tc>
        <w:tc>
          <w:tcPr>
            <w:tcW w:w="1066" w:type="dxa"/>
            <w:shd w:val="clear" w:color="000000" w:fill="BDD6EE"/>
            <w:vAlign w:val="center"/>
            <w:hideMark/>
          </w:tcPr>
          <w:p w:rsidR="00461B09" w:rsidRPr="00D1550C" w:rsidRDefault="00461B09" w:rsidP="00461B09">
            <w:pPr>
              <w:jc w:val="center"/>
              <w:rPr>
                <w:rFonts w:cs="Calibri"/>
                <w:b/>
                <w:bCs/>
                <w:color w:val="000000"/>
                <w:sz w:val="20"/>
                <w:szCs w:val="20"/>
              </w:rPr>
            </w:pPr>
            <w:r>
              <w:rPr>
                <w:rFonts w:cs="Calibri"/>
                <w:b/>
                <w:bCs/>
                <w:color w:val="000000"/>
                <w:sz w:val="20"/>
                <w:szCs w:val="20"/>
              </w:rPr>
              <w:t>Q4</w:t>
            </w:r>
          </w:p>
        </w:tc>
        <w:tc>
          <w:tcPr>
            <w:tcW w:w="1153" w:type="dxa"/>
            <w:vMerge/>
            <w:shd w:val="clear" w:color="000000" w:fill="BDD6EE"/>
            <w:vAlign w:val="center"/>
          </w:tcPr>
          <w:p w:rsidR="00461B09" w:rsidRPr="00D1550C" w:rsidRDefault="00461B09" w:rsidP="00461B09">
            <w:pPr>
              <w:jc w:val="center"/>
              <w:rPr>
                <w:rFonts w:cs="Calibri"/>
                <w:b/>
                <w:bCs/>
                <w:color w:val="000000"/>
                <w:sz w:val="20"/>
                <w:szCs w:val="20"/>
              </w:rPr>
            </w:pPr>
          </w:p>
        </w:tc>
        <w:tc>
          <w:tcPr>
            <w:tcW w:w="1093" w:type="dxa"/>
            <w:shd w:val="clear" w:color="000000" w:fill="BDD6EE"/>
            <w:vAlign w:val="center"/>
            <w:hideMark/>
          </w:tcPr>
          <w:p w:rsidR="00461B09" w:rsidRPr="00D1550C" w:rsidRDefault="00461B09" w:rsidP="00461B09">
            <w:pPr>
              <w:jc w:val="center"/>
              <w:rPr>
                <w:rFonts w:cs="Calibri"/>
                <w:b/>
                <w:bCs/>
                <w:color w:val="000000"/>
                <w:sz w:val="20"/>
                <w:szCs w:val="20"/>
              </w:rPr>
            </w:pPr>
            <w:r>
              <w:rPr>
                <w:rFonts w:cs="Calibri"/>
                <w:b/>
                <w:bCs/>
                <w:color w:val="000000"/>
                <w:sz w:val="20"/>
                <w:szCs w:val="20"/>
              </w:rPr>
              <w:t>Q1</w:t>
            </w:r>
            <w:r w:rsidRPr="00D1550C">
              <w:rPr>
                <w:rFonts w:cs="Calibri"/>
                <w:b/>
                <w:bCs/>
                <w:color w:val="000000"/>
                <w:sz w:val="20"/>
                <w:szCs w:val="20"/>
              </w:rPr>
              <w:t>.</w:t>
            </w:r>
          </w:p>
        </w:tc>
        <w:tc>
          <w:tcPr>
            <w:tcW w:w="1225" w:type="dxa"/>
            <w:shd w:val="clear" w:color="000000" w:fill="BDD6EE"/>
            <w:vAlign w:val="center"/>
            <w:hideMark/>
          </w:tcPr>
          <w:p w:rsidR="00461B09" w:rsidRPr="00D1550C" w:rsidRDefault="00461B09" w:rsidP="00461B09">
            <w:pPr>
              <w:jc w:val="center"/>
              <w:rPr>
                <w:rFonts w:cs="Calibri"/>
                <w:b/>
                <w:bCs/>
                <w:color w:val="000000"/>
                <w:sz w:val="20"/>
                <w:szCs w:val="20"/>
              </w:rPr>
            </w:pPr>
            <w:r>
              <w:rPr>
                <w:rFonts w:cs="Calibri"/>
                <w:b/>
                <w:bCs/>
                <w:color w:val="000000"/>
                <w:sz w:val="20"/>
                <w:szCs w:val="20"/>
              </w:rPr>
              <w:t>Q2</w:t>
            </w:r>
          </w:p>
        </w:tc>
        <w:tc>
          <w:tcPr>
            <w:tcW w:w="1428" w:type="dxa"/>
            <w:vMerge/>
            <w:vAlign w:val="center"/>
            <w:hideMark/>
          </w:tcPr>
          <w:p w:rsidR="00461B09" w:rsidRPr="00D1550C" w:rsidRDefault="00461B09" w:rsidP="00461B09">
            <w:pPr>
              <w:rPr>
                <w:rFonts w:cs="Calibri"/>
                <w:b/>
                <w:bCs/>
                <w:color w:val="000000"/>
                <w:sz w:val="20"/>
                <w:szCs w:val="20"/>
              </w:rPr>
            </w:pPr>
          </w:p>
        </w:tc>
      </w:tr>
      <w:tr w:rsidR="00461B09" w:rsidRPr="00D1550C" w:rsidTr="00461B09">
        <w:trPr>
          <w:trHeight w:val="430"/>
        </w:trPr>
        <w:tc>
          <w:tcPr>
            <w:tcW w:w="2884" w:type="dxa"/>
            <w:shd w:val="clear" w:color="000000" w:fill="F2F2F2"/>
            <w:vAlign w:val="center"/>
            <w:hideMark/>
          </w:tcPr>
          <w:p w:rsidR="00461B09" w:rsidRPr="00D1550C" w:rsidRDefault="00461B09" w:rsidP="00461B09">
            <w:pPr>
              <w:ind w:firstLineChars="100" w:firstLine="200"/>
              <w:rPr>
                <w:rFonts w:cs="Calibri"/>
                <w:b/>
                <w:bCs/>
                <w:color w:val="000000"/>
                <w:sz w:val="20"/>
                <w:szCs w:val="20"/>
              </w:rPr>
            </w:pPr>
            <w:r w:rsidRPr="00D1550C">
              <w:rPr>
                <w:rFonts w:cs="Calibri"/>
                <w:b/>
                <w:bCs/>
                <w:color w:val="000000"/>
                <w:sz w:val="20"/>
                <w:szCs w:val="20"/>
              </w:rPr>
              <w:t>Income receivable</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25 990,6</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21 762,6</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4 999,3</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4 466,5</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7 995,1</w:t>
            </w:r>
          </w:p>
        </w:tc>
        <w:tc>
          <w:tcPr>
            <w:tcW w:w="1066" w:type="dxa"/>
            <w:shd w:val="clear" w:color="000000" w:fill="F2F2F2"/>
            <w:noWrap/>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4 301,7</w:t>
            </w:r>
          </w:p>
        </w:tc>
        <w:tc>
          <w:tcPr>
            <w:tcW w:w="1153"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10 669,2</w:t>
            </w:r>
          </w:p>
        </w:tc>
        <w:tc>
          <w:tcPr>
            <w:tcW w:w="1093"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3 934,2</w:t>
            </w:r>
          </w:p>
        </w:tc>
        <w:tc>
          <w:tcPr>
            <w:tcW w:w="1225"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6 735,0</w:t>
            </w:r>
          </w:p>
        </w:tc>
        <w:tc>
          <w:tcPr>
            <w:tcW w:w="1428"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12,7%</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100" w:firstLine="200"/>
              <w:rPr>
                <w:rFonts w:cs="Calibri"/>
                <w:b/>
                <w:bCs/>
                <w:i/>
                <w:iCs/>
                <w:color w:val="000000"/>
                <w:sz w:val="20"/>
                <w:szCs w:val="20"/>
              </w:rPr>
            </w:pPr>
            <w:r w:rsidRPr="00D1550C">
              <w:rPr>
                <w:rFonts w:cs="Calibri"/>
                <w:b/>
                <w:bCs/>
                <w:i/>
                <w:iCs/>
                <w:color w:val="000000"/>
                <w:sz w:val="20"/>
                <w:szCs w:val="20"/>
              </w:rPr>
              <w:t>Export</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16 993,4</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14 531,7</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3 216,1</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2 894,3</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5 964,8</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2 456,6</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6 883,8</w:t>
            </w:r>
          </w:p>
        </w:tc>
        <w:tc>
          <w:tcPr>
            <w:tcW w:w="1093"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2 358,0</w:t>
            </w:r>
          </w:p>
        </w:tc>
        <w:tc>
          <w:tcPr>
            <w:tcW w:w="1225"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4 525,7</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12,7%</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200" w:firstLine="400"/>
              <w:rPr>
                <w:rFonts w:cs="Calibri"/>
                <w:i/>
                <w:iCs/>
                <w:color w:val="000000"/>
                <w:sz w:val="20"/>
                <w:szCs w:val="20"/>
              </w:rPr>
            </w:pPr>
            <w:r w:rsidRPr="00D1550C">
              <w:rPr>
                <w:rFonts w:cs="Calibri"/>
                <w:i/>
                <w:iCs/>
                <w:color w:val="000000"/>
                <w:sz w:val="20"/>
                <w:szCs w:val="20"/>
              </w:rPr>
              <w:t>Goods</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13 898,6</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12 832,2</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2 609,3</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2 579,2</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5 616,2</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2 027,5</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5 931,3</w:t>
            </w:r>
          </w:p>
        </w:tc>
        <w:tc>
          <w:tcPr>
            <w:tcW w:w="1093"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1 933,7</w:t>
            </w:r>
          </w:p>
        </w:tc>
        <w:tc>
          <w:tcPr>
            <w:tcW w:w="1225"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3 997,6</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14,3%</w:t>
            </w:r>
          </w:p>
        </w:tc>
      </w:tr>
      <w:tr w:rsidR="00461B09" w:rsidRPr="00D1550C" w:rsidTr="00461B09">
        <w:trPr>
          <w:trHeight w:val="430"/>
        </w:trPr>
        <w:tc>
          <w:tcPr>
            <w:tcW w:w="2884" w:type="dxa"/>
            <w:shd w:val="clear" w:color="000000" w:fill="F2F2F2"/>
            <w:vAlign w:val="center"/>
            <w:hideMark/>
          </w:tcPr>
          <w:p w:rsidR="00461B09" w:rsidRPr="00D1550C" w:rsidRDefault="00461B09" w:rsidP="00461B09">
            <w:pPr>
              <w:ind w:firstLineChars="400" w:firstLine="800"/>
              <w:rPr>
                <w:rFonts w:cs="Calibri"/>
                <w:i/>
                <w:iCs/>
                <w:color w:val="000000"/>
                <w:sz w:val="20"/>
                <w:szCs w:val="20"/>
              </w:rPr>
            </w:pPr>
            <w:r w:rsidRPr="00D1550C">
              <w:rPr>
                <w:rFonts w:cs="Calibri"/>
                <w:i/>
                <w:iCs/>
                <w:color w:val="000000"/>
                <w:sz w:val="20"/>
                <w:szCs w:val="20"/>
              </w:rPr>
              <w:t>w/o gold</w:t>
            </w:r>
          </w:p>
        </w:tc>
        <w:tc>
          <w:tcPr>
            <w:tcW w:w="1237" w:type="dxa"/>
            <w:shd w:val="clear" w:color="000000" w:fill="F2F2F2"/>
            <w:vAlign w:val="center"/>
          </w:tcPr>
          <w:p w:rsidR="00461B09" w:rsidRPr="006E6983" w:rsidRDefault="00461B09" w:rsidP="00461B09">
            <w:pPr>
              <w:jc w:val="center"/>
              <w:rPr>
                <w:rFonts w:asciiTheme="minorHAnsi" w:hAnsiTheme="minorHAnsi" w:cstheme="minorHAnsi"/>
                <w:i/>
                <w:iCs/>
                <w:color w:val="000000"/>
                <w:sz w:val="20"/>
                <w:szCs w:val="20"/>
              </w:rPr>
            </w:pPr>
            <w:r w:rsidRPr="006E6983">
              <w:rPr>
                <w:rFonts w:asciiTheme="minorHAnsi" w:hAnsiTheme="minorHAnsi" w:cstheme="minorHAnsi"/>
                <w:i/>
                <w:iCs/>
                <w:color w:val="000000"/>
                <w:sz w:val="20"/>
                <w:szCs w:val="20"/>
              </w:rPr>
              <w:t>8 746,3</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6 974,8</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1 565,4</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1 458,9</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1 933,1</w:t>
            </w:r>
          </w:p>
        </w:tc>
        <w:tc>
          <w:tcPr>
            <w:tcW w:w="1066" w:type="dxa"/>
            <w:shd w:val="clear" w:color="000000" w:fill="F2F2F2"/>
            <w:noWrap/>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2 017,4</w:t>
            </w:r>
          </w:p>
        </w:tc>
        <w:tc>
          <w:tcPr>
            <w:tcW w:w="1153"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4 345,6</w:t>
            </w:r>
          </w:p>
        </w:tc>
        <w:tc>
          <w:tcPr>
            <w:tcW w:w="1093"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1 924,1</w:t>
            </w:r>
          </w:p>
        </w:tc>
        <w:tc>
          <w:tcPr>
            <w:tcW w:w="1225"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2 421,5</w:t>
            </w:r>
          </w:p>
        </w:tc>
        <w:tc>
          <w:tcPr>
            <w:tcW w:w="1428" w:type="dxa"/>
            <w:shd w:val="clear" w:color="000000" w:fill="F2F2F2"/>
            <w:vAlign w:val="center"/>
          </w:tcPr>
          <w:p w:rsidR="00461B09" w:rsidRPr="006E6983" w:rsidRDefault="00461B09" w:rsidP="00461B09">
            <w:pPr>
              <w:jc w:val="center"/>
              <w:rPr>
                <w:rFonts w:asciiTheme="minorHAnsi" w:hAnsiTheme="minorHAnsi" w:cstheme="minorHAnsi"/>
                <w:i/>
                <w:iCs/>
                <w:color w:val="000000"/>
                <w:sz w:val="20"/>
                <w:szCs w:val="20"/>
              </w:rPr>
            </w:pPr>
            <w:r w:rsidRPr="006E6983">
              <w:rPr>
                <w:rFonts w:asciiTheme="minorHAnsi" w:hAnsiTheme="minorHAnsi" w:cstheme="minorHAnsi"/>
                <w:i/>
                <w:iCs/>
                <w:color w:val="000000"/>
                <w:sz w:val="20"/>
                <w:szCs w:val="20"/>
              </w:rPr>
              <w:t>43,7%</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200" w:firstLine="400"/>
              <w:rPr>
                <w:rFonts w:cs="Calibri"/>
                <w:i/>
                <w:iCs/>
                <w:color w:val="000000"/>
                <w:sz w:val="20"/>
                <w:szCs w:val="20"/>
              </w:rPr>
            </w:pPr>
            <w:r w:rsidRPr="00D1550C">
              <w:rPr>
                <w:rFonts w:cs="Calibri"/>
                <w:i/>
                <w:iCs/>
                <w:color w:val="000000"/>
                <w:sz w:val="20"/>
                <w:szCs w:val="20"/>
              </w:rPr>
              <w:t>Services</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3 094,8</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1 699,5</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606,8</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315,0</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348,6</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429,1</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952,5</w:t>
            </w:r>
          </w:p>
        </w:tc>
        <w:tc>
          <w:tcPr>
            <w:tcW w:w="1093"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424,3</w:t>
            </w:r>
          </w:p>
        </w:tc>
        <w:tc>
          <w:tcPr>
            <w:tcW w:w="1225"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528,2</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3,3%</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100" w:firstLine="200"/>
              <w:rPr>
                <w:rFonts w:cs="Calibri"/>
                <w:i/>
                <w:iCs/>
                <w:color w:val="000000"/>
                <w:sz w:val="20"/>
                <w:szCs w:val="20"/>
              </w:rPr>
            </w:pPr>
            <w:r w:rsidRPr="00D1550C">
              <w:rPr>
                <w:rFonts w:cs="Calibri"/>
                <w:i/>
                <w:iCs/>
                <w:color w:val="000000"/>
                <w:sz w:val="20"/>
                <w:szCs w:val="20"/>
              </w:rPr>
              <w:t>Primary income receivable</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2 956,9</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1 583,0</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634,7</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361,3</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398,1</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189,0</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1 041,8</w:t>
            </w:r>
          </w:p>
        </w:tc>
        <w:tc>
          <w:tcPr>
            <w:tcW w:w="1093"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314,5</w:t>
            </w:r>
          </w:p>
        </w:tc>
        <w:tc>
          <w:tcPr>
            <w:tcW w:w="1225"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727,3</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4,6%</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100" w:firstLine="200"/>
              <w:rPr>
                <w:rFonts w:cs="Calibri"/>
                <w:i/>
                <w:iCs/>
                <w:color w:val="000000"/>
                <w:sz w:val="20"/>
                <w:szCs w:val="20"/>
              </w:rPr>
            </w:pPr>
            <w:r w:rsidRPr="00D1550C">
              <w:rPr>
                <w:rFonts w:cs="Calibri"/>
                <w:i/>
                <w:iCs/>
                <w:color w:val="000000"/>
                <w:sz w:val="20"/>
                <w:szCs w:val="20"/>
              </w:rPr>
              <w:t>Secondary income receivable</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6 040,3</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5 647,9</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1 148,6</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1 210,9</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1 632,3</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1 656,1</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2 743,6</w:t>
            </w:r>
          </w:p>
        </w:tc>
        <w:tc>
          <w:tcPr>
            <w:tcW w:w="1093"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1 261,6</w:t>
            </w:r>
          </w:p>
        </w:tc>
        <w:tc>
          <w:tcPr>
            <w:tcW w:w="1225"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1 482,0</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16,3%</w:t>
            </w:r>
          </w:p>
        </w:tc>
      </w:tr>
      <w:tr w:rsidR="00461B09" w:rsidRPr="00D1550C" w:rsidTr="00461B09">
        <w:trPr>
          <w:trHeight w:val="430"/>
        </w:trPr>
        <w:tc>
          <w:tcPr>
            <w:tcW w:w="2884" w:type="dxa"/>
            <w:shd w:val="clear" w:color="000000" w:fill="F2F2F2"/>
            <w:vAlign w:val="center"/>
            <w:hideMark/>
          </w:tcPr>
          <w:p w:rsidR="00461B09" w:rsidRPr="00D1550C" w:rsidRDefault="00461B09" w:rsidP="00461B09">
            <w:pPr>
              <w:ind w:firstLineChars="100" w:firstLine="200"/>
              <w:rPr>
                <w:rFonts w:cs="Calibri"/>
                <w:b/>
                <w:bCs/>
                <w:color w:val="000000"/>
                <w:sz w:val="20"/>
                <w:szCs w:val="20"/>
              </w:rPr>
            </w:pPr>
            <w:r w:rsidRPr="00D1550C">
              <w:rPr>
                <w:rFonts w:cs="Calibri"/>
                <w:b/>
                <w:bCs/>
                <w:color w:val="000000"/>
                <w:sz w:val="20"/>
                <w:szCs w:val="20"/>
              </w:rPr>
              <w:t>Expenses payable</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29 356,6</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24 769,2</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5 879,6</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5 491,5</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6 368,4</w:t>
            </w:r>
          </w:p>
        </w:tc>
        <w:tc>
          <w:tcPr>
            <w:tcW w:w="1066" w:type="dxa"/>
            <w:shd w:val="clear" w:color="000000" w:fill="F2F2F2"/>
            <w:noWrap/>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7 029,6</w:t>
            </w:r>
          </w:p>
        </w:tc>
        <w:tc>
          <w:tcPr>
            <w:tcW w:w="1153"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13 940,4</w:t>
            </w:r>
          </w:p>
        </w:tc>
        <w:tc>
          <w:tcPr>
            <w:tcW w:w="1093"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6 026,9</w:t>
            </w:r>
          </w:p>
        </w:tc>
        <w:tc>
          <w:tcPr>
            <w:tcW w:w="1225"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7 913,5</w:t>
            </w:r>
          </w:p>
        </w:tc>
        <w:tc>
          <w:tcPr>
            <w:tcW w:w="1428"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22,6%</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100" w:firstLine="200"/>
              <w:rPr>
                <w:rFonts w:cs="Calibri"/>
                <w:b/>
                <w:bCs/>
                <w:i/>
                <w:iCs/>
                <w:color w:val="000000"/>
                <w:sz w:val="20"/>
                <w:szCs w:val="20"/>
              </w:rPr>
            </w:pPr>
            <w:r w:rsidRPr="00D1550C">
              <w:rPr>
                <w:rFonts w:cs="Calibri"/>
                <w:b/>
                <w:bCs/>
                <w:i/>
                <w:iCs/>
                <w:color w:val="000000"/>
                <w:sz w:val="20"/>
                <w:szCs w:val="20"/>
              </w:rPr>
              <w:t>Import</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26 550,8</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22 559,6</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5 356,0</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4 976,4</w:t>
            </w:r>
          </w:p>
        </w:tc>
        <w:tc>
          <w:tcPr>
            <w:tcW w:w="1237"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5 789,4</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6 437,8</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12 694,6</w:t>
            </w:r>
          </w:p>
        </w:tc>
        <w:tc>
          <w:tcPr>
            <w:tcW w:w="1093"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5 566,8</w:t>
            </w:r>
          </w:p>
        </w:tc>
        <w:tc>
          <w:tcPr>
            <w:tcW w:w="1225"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7 127,8</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22,9%</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200" w:firstLine="400"/>
              <w:rPr>
                <w:rFonts w:cs="Calibri"/>
                <w:i/>
                <w:iCs/>
                <w:color w:val="000000"/>
                <w:sz w:val="20"/>
                <w:szCs w:val="20"/>
              </w:rPr>
            </w:pPr>
            <w:r w:rsidRPr="00D1550C">
              <w:rPr>
                <w:rFonts w:cs="Calibri"/>
                <w:i/>
                <w:iCs/>
                <w:color w:val="000000"/>
                <w:sz w:val="20"/>
                <w:szCs w:val="20"/>
              </w:rPr>
              <w:t>Goods</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21 190,0</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19 048,3</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4 291,4</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4 290,1</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4 998,3</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5 468,6</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10 654,6</w:t>
            </w:r>
          </w:p>
        </w:tc>
        <w:tc>
          <w:tcPr>
            <w:tcW w:w="1093"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4 721,8</w:t>
            </w:r>
          </w:p>
        </w:tc>
        <w:tc>
          <w:tcPr>
            <w:tcW w:w="1225"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5 932,9</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24,2%</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200" w:firstLine="400"/>
              <w:rPr>
                <w:rFonts w:cs="Calibri"/>
                <w:i/>
                <w:iCs/>
                <w:color w:val="000000"/>
                <w:sz w:val="20"/>
                <w:szCs w:val="20"/>
              </w:rPr>
            </w:pPr>
            <w:r w:rsidRPr="00D1550C">
              <w:rPr>
                <w:rFonts w:cs="Calibri"/>
                <w:i/>
                <w:iCs/>
                <w:color w:val="000000"/>
                <w:sz w:val="20"/>
                <w:szCs w:val="20"/>
              </w:rPr>
              <w:t>Services</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5 360,9</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3 511,3</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1 064,7</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686,3</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791,1</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969,2</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2 040,0</w:t>
            </w:r>
          </w:p>
        </w:tc>
        <w:tc>
          <w:tcPr>
            <w:tcW w:w="1093"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845,0</w:t>
            </w:r>
          </w:p>
        </w:tc>
        <w:tc>
          <w:tcPr>
            <w:tcW w:w="1225"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1 195,0</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16,5%</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100" w:firstLine="200"/>
              <w:rPr>
                <w:rFonts w:cs="Calibri"/>
                <w:i/>
                <w:iCs/>
                <w:color w:val="000000"/>
                <w:sz w:val="20"/>
                <w:szCs w:val="20"/>
              </w:rPr>
            </w:pPr>
            <w:r w:rsidRPr="00D1550C">
              <w:rPr>
                <w:rFonts w:cs="Calibri"/>
                <w:i/>
                <w:iCs/>
                <w:color w:val="000000"/>
                <w:sz w:val="20"/>
                <w:szCs w:val="20"/>
              </w:rPr>
              <w:t>Primary income receivable</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2 220,1</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1 773,8</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393,1</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427,2</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464,7</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488,8</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970,4</w:t>
            </w:r>
          </w:p>
        </w:tc>
        <w:tc>
          <w:tcPr>
            <w:tcW w:w="1093"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352,6</w:t>
            </w:r>
          </w:p>
        </w:tc>
        <w:tc>
          <w:tcPr>
            <w:tcW w:w="1225"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617,8</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18,3%</w:t>
            </w:r>
          </w:p>
        </w:tc>
      </w:tr>
      <w:tr w:rsidR="00461B09" w:rsidRPr="00D1550C" w:rsidTr="00461B09">
        <w:trPr>
          <w:trHeight w:val="430"/>
        </w:trPr>
        <w:tc>
          <w:tcPr>
            <w:tcW w:w="2884" w:type="dxa"/>
            <w:shd w:val="clear" w:color="000000" w:fill="FFFFFF"/>
            <w:vAlign w:val="center"/>
            <w:hideMark/>
          </w:tcPr>
          <w:p w:rsidR="00461B09" w:rsidRPr="00D1550C" w:rsidRDefault="00461B09" w:rsidP="00461B09">
            <w:pPr>
              <w:ind w:firstLineChars="100" w:firstLine="200"/>
              <w:rPr>
                <w:rFonts w:cs="Calibri"/>
                <w:i/>
                <w:iCs/>
                <w:color w:val="000000"/>
                <w:sz w:val="20"/>
                <w:szCs w:val="20"/>
              </w:rPr>
            </w:pPr>
            <w:r w:rsidRPr="00D1550C">
              <w:rPr>
                <w:rFonts w:cs="Calibri"/>
                <w:i/>
                <w:iCs/>
                <w:color w:val="000000"/>
                <w:sz w:val="20"/>
                <w:szCs w:val="20"/>
              </w:rPr>
              <w:t>Secondary income receivable</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585,7</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435,8</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130,5</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87,9</w:t>
            </w:r>
          </w:p>
        </w:tc>
        <w:tc>
          <w:tcPr>
            <w:tcW w:w="1237"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114,3</w:t>
            </w:r>
          </w:p>
        </w:tc>
        <w:tc>
          <w:tcPr>
            <w:tcW w:w="1066" w:type="dxa"/>
            <w:shd w:val="clear" w:color="auto" w:fill="auto"/>
            <w:noWrap/>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103,1</w:t>
            </w:r>
          </w:p>
        </w:tc>
        <w:tc>
          <w:tcPr>
            <w:tcW w:w="1153" w:type="dxa"/>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275,3</w:t>
            </w:r>
          </w:p>
        </w:tc>
        <w:tc>
          <w:tcPr>
            <w:tcW w:w="1093"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107,5</w:t>
            </w:r>
          </w:p>
        </w:tc>
        <w:tc>
          <w:tcPr>
            <w:tcW w:w="1225"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167,8</w:t>
            </w:r>
          </w:p>
        </w:tc>
        <w:tc>
          <w:tcPr>
            <w:tcW w:w="1428" w:type="dxa"/>
            <w:shd w:val="clear" w:color="auto" w:fill="auto"/>
            <w:vAlign w:val="center"/>
          </w:tcPr>
          <w:p w:rsidR="00461B09" w:rsidRPr="006E6983" w:rsidRDefault="00461B09" w:rsidP="00461B09">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26,0%</w:t>
            </w:r>
          </w:p>
        </w:tc>
      </w:tr>
      <w:tr w:rsidR="00461B09" w:rsidRPr="00D1550C" w:rsidTr="00461B09">
        <w:trPr>
          <w:trHeight w:val="430"/>
        </w:trPr>
        <w:tc>
          <w:tcPr>
            <w:tcW w:w="2884" w:type="dxa"/>
            <w:shd w:val="clear" w:color="000000" w:fill="F2F2F2"/>
            <w:vAlign w:val="center"/>
            <w:hideMark/>
          </w:tcPr>
          <w:p w:rsidR="00461B09" w:rsidRPr="00D1550C" w:rsidRDefault="00461B09" w:rsidP="00461B09">
            <w:pPr>
              <w:ind w:firstLineChars="100" w:firstLine="200"/>
              <w:rPr>
                <w:rFonts w:cs="Calibri"/>
                <w:b/>
                <w:bCs/>
                <w:color w:val="000000"/>
                <w:sz w:val="20"/>
                <w:szCs w:val="20"/>
              </w:rPr>
            </w:pPr>
            <w:r w:rsidRPr="00D1550C">
              <w:rPr>
                <w:rFonts w:cs="Calibri"/>
                <w:b/>
                <w:bCs/>
                <w:color w:val="000000"/>
                <w:sz w:val="20"/>
                <w:szCs w:val="20"/>
              </w:rPr>
              <w:t>Current account balance</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-3 366,0</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-3 006,6</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-880,3</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-1 025,0</w:t>
            </w:r>
          </w:p>
        </w:tc>
        <w:tc>
          <w:tcPr>
            <w:tcW w:w="1237"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1 626,7</w:t>
            </w:r>
          </w:p>
        </w:tc>
        <w:tc>
          <w:tcPr>
            <w:tcW w:w="1066" w:type="dxa"/>
            <w:shd w:val="clear" w:color="000000" w:fill="F2F2F2"/>
            <w:noWrap/>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-2 727,9</w:t>
            </w:r>
          </w:p>
        </w:tc>
        <w:tc>
          <w:tcPr>
            <w:tcW w:w="1153"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-3 271,2</w:t>
            </w:r>
          </w:p>
        </w:tc>
        <w:tc>
          <w:tcPr>
            <w:tcW w:w="1093"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-2 092,7</w:t>
            </w:r>
          </w:p>
        </w:tc>
        <w:tc>
          <w:tcPr>
            <w:tcW w:w="1225"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-1 178,5</w:t>
            </w:r>
          </w:p>
        </w:tc>
        <w:tc>
          <w:tcPr>
            <w:tcW w:w="1428" w:type="dxa"/>
            <w:shd w:val="clear" w:color="000000" w:fill="F2F2F2"/>
            <w:vAlign w:val="center"/>
          </w:tcPr>
          <w:p w:rsidR="00461B09" w:rsidRPr="006E6983" w:rsidRDefault="00461B09" w:rsidP="00461B09">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71,7%</w:t>
            </w:r>
          </w:p>
        </w:tc>
      </w:tr>
    </w:tbl>
    <w:p w:rsidR="00A7596A" w:rsidRPr="00D1550C" w:rsidRDefault="00A7596A" w:rsidP="00A7596A">
      <w:pPr>
        <w:spacing w:line="288" w:lineRule="auto"/>
        <w:jc w:val="both"/>
        <w:rPr>
          <w:rFonts w:cs="Calibri"/>
          <w:i/>
          <w:sz w:val="20"/>
          <w:szCs w:val="20"/>
        </w:rPr>
      </w:pPr>
    </w:p>
    <w:p w:rsidR="00A7596A" w:rsidRPr="00D1550C" w:rsidRDefault="00AE6FBF" w:rsidP="00AE6FBF">
      <w:pPr>
        <w:spacing w:line="288" w:lineRule="auto"/>
        <w:ind w:firstLine="709"/>
        <w:jc w:val="both"/>
        <w:rPr>
          <w:sz w:val="26"/>
          <w:szCs w:val="26"/>
        </w:rPr>
      </w:pPr>
      <w:r w:rsidRPr="00D1550C">
        <w:rPr>
          <w:sz w:val="26"/>
          <w:szCs w:val="26"/>
        </w:rPr>
        <w:t xml:space="preserve">Thus, according to the results of the </w:t>
      </w:r>
      <w:r w:rsidR="00243C07" w:rsidRPr="00D1550C">
        <w:rPr>
          <w:sz w:val="26"/>
          <w:szCs w:val="26"/>
        </w:rPr>
        <w:t>1</w:t>
      </w:r>
      <w:r w:rsidR="00243C07" w:rsidRPr="00D1550C">
        <w:rPr>
          <w:sz w:val="26"/>
          <w:szCs w:val="26"/>
          <w:vertAlign w:val="superscript"/>
        </w:rPr>
        <w:t>st</w:t>
      </w:r>
      <w:r w:rsidRPr="00D1550C">
        <w:rPr>
          <w:sz w:val="26"/>
          <w:szCs w:val="26"/>
        </w:rPr>
        <w:t xml:space="preserve"> half of 2021, the negative trade balance</w:t>
      </w:r>
      <w:r w:rsidR="00473717" w:rsidRPr="00D1550C">
        <w:rPr>
          <w:sz w:val="26"/>
          <w:szCs w:val="26"/>
        </w:rPr>
        <w:t>,</w:t>
      </w:r>
      <w:r w:rsidRPr="00D1550C">
        <w:rPr>
          <w:sz w:val="26"/>
          <w:szCs w:val="26"/>
        </w:rPr>
        <w:t xml:space="preserve"> taking into account international services</w:t>
      </w:r>
      <w:r w:rsidR="0096645D" w:rsidRPr="00D1550C">
        <w:rPr>
          <w:sz w:val="26"/>
          <w:szCs w:val="26"/>
        </w:rPr>
        <w:t>,</w:t>
      </w:r>
      <w:r w:rsidRPr="00D1550C">
        <w:rPr>
          <w:sz w:val="26"/>
          <w:szCs w:val="26"/>
        </w:rPr>
        <w:t xml:space="preserve"> according to the BPM6 methodology, amounted to USD 5.8 billion. At the same time, the positive balance of </w:t>
      </w:r>
      <w:r w:rsidR="0096645D" w:rsidRPr="00D1550C">
        <w:rPr>
          <w:sz w:val="26"/>
          <w:szCs w:val="26"/>
        </w:rPr>
        <w:t xml:space="preserve">primary and </w:t>
      </w:r>
      <w:r w:rsidRPr="00D1550C">
        <w:rPr>
          <w:sz w:val="26"/>
          <w:szCs w:val="26"/>
        </w:rPr>
        <w:t xml:space="preserve">secondary income equaled </w:t>
      </w:r>
      <w:r w:rsidR="0096645D" w:rsidRPr="00D1550C">
        <w:rPr>
          <w:sz w:val="26"/>
          <w:szCs w:val="26"/>
        </w:rPr>
        <w:br/>
      </w:r>
      <w:r w:rsidRPr="00D1550C">
        <w:rPr>
          <w:sz w:val="26"/>
          <w:szCs w:val="26"/>
        </w:rPr>
        <w:t>USD 2.5</w:t>
      </w:r>
      <w:r w:rsidR="001136B5" w:rsidRPr="00D1550C">
        <w:rPr>
          <w:sz w:val="26"/>
          <w:szCs w:val="26"/>
        </w:rPr>
        <w:t xml:space="preserve"> billion</w:t>
      </w:r>
      <w:r w:rsidR="0062400B" w:rsidRPr="00D1550C">
        <w:rPr>
          <w:sz w:val="26"/>
          <w:szCs w:val="26"/>
        </w:rPr>
        <w:t>.</w:t>
      </w:r>
    </w:p>
    <w:p w:rsidR="00A7596A" w:rsidRPr="00D1550C" w:rsidRDefault="00A7596A" w:rsidP="00A7596A">
      <w:pPr>
        <w:spacing w:line="288" w:lineRule="auto"/>
        <w:ind w:firstLine="709"/>
        <w:jc w:val="both"/>
        <w:sectPr w:rsidR="00A7596A" w:rsidRPr="00D1550C" w:rsidSect="008D4642">
          <w:pgSz w:w="16838" w:h="11906" w:orient="landscape" w:code="9"/>
          <w:pgMar w:top="851" w:right="851" w:bottom="1134" w:left="1134" w:header="709" w:footer="0" w:gutter="0"/>
          <w:cols w:space="708"/>
          <w:titlePg/>
          <w:docGrid w:linePitch="360"/>
        </w:sectPr>
      </w:pPr>
    </w:p>
    <w:p w:rsidR="0036624D" w:rsidRPr="00D1550C" w:rsidRDefault="00492C4B" w:rsidP="0056599C">
      <w:pPr>
        <w:pStyle w:val="21"/>
        <w:spacing w:after="240" w:line="288" w:lineRule="auto"/>
        <w:ind w:left="709"/>
        <w:rPr>
          <w:rFonts w:ascii="Calibri" w:hAnsi="Calibri"/>
          <w:lang w:val="en-US"/>
        </w:rPr>
      </w:pPr>
      <w:bookmarkStart w:id="4" w:name="_Toc83291114"/>
      <w:r w:rsidRPr="00D1550C">
        <w:rPr>
          <w:rFonts w:ascii="Calibri" w:hAnsi="Calibri"/>
          <w:lang w:val="en-US"/>
        </w:rPr>
        <w:lastRenderedPageBreak/>
        <w:t>GOODS</w:t>
      </w:r>
      <w:bookmarkEnd w:id="4"/>
    </w:p>
    <w:p w:rsidR="00C773D3" w:rsidRPr="00D1550C" w:rsidRDefault="00C773D3" w:rsidP="00C773D3">
      <w:pPr>
        <w:suppressAutoHyphens/>
        <w:spacing w:before="120" w:line="288" w:lineRule="auto"/>
        <w:ind w:firstLine="709"/>
        <w:jc w:val="both"/>
        <w:rPr>
          <w:sz w:val="26"/>
          <w:szCs w:val="26"/>
        </w:rPr>
      </w:pPr>
      <w:r w:rsidRPr="00D1550C">
        <w:rPr>
          <w:sz w:val="26"/>
          <w:szCs w:val="26"/>
        </w:rPr>
        <w:t xml:space="preserve">For </w:t>
      </w:r>
      <w:r w:rsidR="00243C07" w:rsidRPr="00D1550C">
        <w:rPr>
          <w:sz w:val="26"/>
          <w:szCs w:val="26"/>
        </w:rPr>
        <w:t>the 1</w:t>
      </w:r>
      <w:r w:rsidR="00243C07" w:rsidRPr="00D1550C">
        <w:rPr>
          <w:sz w:val="26"/>
          <w:szCs w:val="26"/>
          <w:vertAlign w:val="superscript"/>
        </w:rPr>
        <w:t>st</w:t>
      </w:r>
      <w:r w:rsidRPr="00D1550C">
        <w:rPr>
          <w:sz w:val="26"/>
          <w:szCs w:val="26"/>
        </w:rPr>
        <w:t xml:space="preserve"> half of 2021, foreign trade in goods (including trade of precious metals (</w:t>
      </w:r>
      <w:r w:rsidRPr="00D1550C">
        <w:rPr>
          <w:i/>
          <w:sz w:val="26"/>
          <w:szCs w:val="26"/>
        </w:rPr>
        <w:t>gold)</w:t>
      </w:r>
      <w:r w:rsidRPr="00D1550C">
        <w:rPr>
          <w:sz w:val="26"/>
          <w:szCs w:val="26"/>
        </w:rPr>
        <w:t xml:space="preserve"> and adjustments</w:t>
      </w:r>
      <w:r w:rsidRPr="00D1550C">
        <w:rPr>
          <w:rStyle w:val="a9"/>
          <w:sz w:val="26"/>
          <w:szCs w:val="26"/>
        </w:rPr>
        <w:footnoteReference w:id="1"/>
      </w:r>
      <w:r w:rsidRPr="00D1550C">
        <w:rPr>
          <w:sz w:val="26"/>
          <w:szCs w:val="26"/>
        </w:rPr>
        <w:t>) amounted to USD 16.6 billion (</w:t>
      </w:r>
      <w:r w:rsidRPr="00D1550C">
        <w:rPr>
          <w:i/>
          <w:sz w:val="26"/>
          <w:szCs w:val="26"/>
        </w:rPr>
        <w:t>USD 13.8 billion for the I half of 2020</w:t>
      </w:r>
      <w:r w:rsidRPr="00D1550C">
        <w:rPr>
          <w:sz w:val="26"/>
          <w:szCs w:val="26"/>
        </w:rPr>
        <w:t xml:space="preserve">). Volume of exports and imports </w:t>
      </w:r>
      <w:r w:rsidR="00473717" w:rsidRPr="00D1550C">
        <w:rPr>
          <w:sz w:val="26"/>
          <w:szCs w:val="26"/>
        </w:rPr>
        <w:t xml:space="preserve">of goods </w:t>
      </w:r>
      <w:r w:rsidRPr="00D1550C">
        <w:rPr>
          <w:sz w:val="26"/>
          <w:szCs w:val="26"/>
        </w:rPr>
        <w:t xml:space="preserve">amounted to USD 5.9 billion and USD </w:t>
      </w:r>
      <w:r w:rsidR="000E1607" w:rsidRPr="00D1550C">
        <w:rPr>
          <w:sz w:val="26"/>
          <w:szCs w:val="26"/>
        </w:rPr>
        <w:t>10.7</w:t>
      </w:r>
      <w:r w:rsidRPr="00D1550C">
        <w:rPr>
          <w:sz w:val="26"/>
          <w:szCs w:val="26"/>
        </w:rPr>
        <w:t xml:space="preserve"> billion, respectively. Thus, the negative trade balance of goods amounted to USD 4.7 billion.</w:t>
      </w:r>
    </w:p>
    <w:p w:rsidR="00CB42EA" w:rsidRPr="00D1550C" w:rsidRDefault="00C773D3" w:rsidP="00F21966">
      <w:pPr>
        <w:suppressAutoHyphens/>
        <w:spacing w:before="120" w:line="288" w:lineRule="auto"/>
        <w:ind w:firstLine="709"/>
        <w:jc w:val="both"/>
        <w:rPr>
          <w:sz w:val="26"/>
          <w:szCs w:val="26"/>
        </w:rPr>
      </w:pPr>
      <w:r w:rsidRPr="00D1550C">
        <w:rPr>
          <w:sz w:val="26"/>
          <w:szCs w:val="26"/>
        </w:rPr>
        <w:t>The volume of export of goods (without export of non-monetary gold and adjustments) increased by 43%</w:t>
      </w:r>
      <w:r w:rsidR="0068703A" w:rsidRPr="00D1550C">
        <w:rPr>
          <w:sz w:val="26"/>
          <w:szCs w:val="26"/>
        </w:rPr>
        <w:t xml:space="preserve"> or</w:t>
      </w:r>
      <w:r w:rsidRPr="00D1550C">
        <w:rPr>
          <w:sz w:val="26"/>
          <w:szCs w:val="26"/>
        </w:rPr>
        <w:t xml:space="preserve"> </w:t>
      </w:r>
      <w:r w:rsidR="0068703A" w:rsidRPr="00D1550C">
        <w:rPr>
          <w:sz w:val="26"/>
          <w:szCs w:val="26"/>
        </w:rPr>
        <w:t xml:space="preserve">USD 1.3 billion </w:t>
      </w:r>
      <w:r w:rsidRPr="00D1550C">
        <w:rPr>
          <w:sz w:val="26"/>
          <w:szCs w:val="26"/>
        </w:rPr>
        <w:t>(</w:t>
      </w:r>
      <w:r w:rsidRPr="00D1550C">
        <w:rPr>
          <w:i/>
          <w:sz w:val="26"/>
          <w:szCs w:val="26"/>
        </w:rPr>
        <w:t>USD 1.</w:t>
      </w:r>
      <w:r w:rsidR="0068703A" w:rsidRPr="00D1550C">
        <w:rPr>
          <w:i/>
          <w:sz w:val="26"/>
          <w:szCs w:val="26"/>
        </w:rPr>
        <w:t xml:space="preserve">2 </w:t>
      </w:r>
      <w:r w:rsidRPr="00D1550C">
        <w:rPr>
          <w:i/>
          <w:sz w:val="26"/>
          <w:szCs w:val="26"/>
        </w:rPr>
        <w:t xml:space="preserve">billion </w:t>
      </w:r>
      <w:r w:rsidR="0068703A" w:rsidRPr="00D1550C">
        <w:rPr>
          <w:i/>
          <w:sz w:val="26"/>
          <w:szCs w:val="26"/>
        </w:rPr>
        <w:t xml:space="preserve">or 29% </w:t>
      </w:r>
      <w:r w:rsidRPr="00D1550C">
        <w:rPr>
          <w:i/>
          <w:sz w:val="26"/>
          <w:szCs w:val="26"/>
        </w:rPr>
        <w:t>for the I half of 2020</w:t>
      </w:r>
      <w:r w:rsidR="00113873" w:rsidRPr="00D1550C">
        <w:rPr>
          <w:sz w:val="26"/>
          <w:szCs w:val="26"/>
        </w:rPr>
        <w:t xml:space="preserve">). For the </w:t>
      </w:r>
      <w:r w:rsidR="00A71A4C" w:rsidRPr="00D1550C">
        <w:rPr>
          <w:sz w:val="26"/>
          <w:szCs w:val="26"/>
        </w:rPr>
        <w:br/>
      </w:r>
      <w:r w:rsidR="00113873" w:rsidRPr="00D1550C">
        <w:rPr>
          <w:sz w:val="26"/>
          <w:szCs w:val="26"/>
        </w:rPr>
        <w:t>1</w:t>
      </w:r>
      <w:r w:rsidR="00113873" w:rsidRPr="00D1550C">
        <w:rPr>
          <w:sz w:val="26"/>
          <w:szCs w:val="26"/>
          <w:vertAlign w:val="superscript"/>
        </w:rPr>
        <w:t>st</w:t>
      </w:r>
      <w:r w:rsidRPr="00D1550C">
        <w:rPr>
          <w:sz w:val="26"/>
          <w:szCs w:val="26"/>
        </w:rPr>
        <w:t xml:space="preserve"> half of 2021</w:t>
      </w:r>
      <w:r w:rsidR="00F21966" w:rsidRPr="00D1550C">
        <w:rPr>
          <w:sz w:val="26"/>
          <w:szCs w:val="26"/>
        </w:rPr>
        <w:t>,</w:t>
      </w:r>
      <w:r w:rsidRPr="00D1550C">
        <w:rPr>
          <w:sz w:val="26"/>
          <w:szCs w:val="26"/>
        </w:rPr>
        <w:t xml:space="preserve"> </w:t>
      </w:r>
      <w:r w:rsidR="00F21966" w:rsidRPr="00D1550C">
        <w:rPr>
          <w:sz w:val="26"/>
          <w:szCs w:val="26"/>
        </w:rPr>
        <w:t>the volume of export</w:t>
      </w:r>
      <w:r w:rsidR="00D1550C">
        <w:rPr>
          <w:sz w:val="26"/>
          <w:szCs w:val="26"/>
        </w:rPr>
        <w:t>ed</w:t>
      </w:r>
      <w:r w:rsidR="00F21966" w:rsidRPr="00D1550C">
        <w:rPr>
          <w:sz w:val="26"/>
          <w:szCs w:val="26"/>
        </w:rPr>
        <w:t xml:space="preserve"> gas reached the </w:t>
      </w:r>
      <w:r w:rsidR="00D1550C">
        <w:rPr>
          <w:sz w:val="26"/>
          <w:szCs w:val="26"/>
        </w:rPr>
        <w:t xml:space="preserve">amount of </w:t>
      </w:r>
      <w:r w:rsidRPr="00D1550C">
        <w:rPr>
          <w:sz w:val="26"/>
          <w:szCs w:val="26"/>
        </w:rPr>
        <w:t>corresponding period of the previous year. Moreover, 9</w:t>
      </w:r>
      <w:r w:rsidR="000D4B5F" w:rsidRPr="00D1550C">
        <w:rPr>
          <w:sz w:val="26"/>
          <w:szCs w:val="26"/>
        </w:rPr>
        <w:t>2</w:t>
      </w:r>
      <w:r w:rsidRPr="00D1550C">
        <w:rPr>
          <w:sz w:val="26"/>
          <w:szCs w:val="26"/>
        </w:rPr>
        <w:t>% of the total volume of natural gas exports accounted for China</w:t>
      </w:r>
      <w:r w:rsidR="00A71A4C" w:rsidRPr="00D1550C">
        <w:rPr>
          <w:sz w:val="26"/>
          <w:szCs w:val="26"/>
        </w:rPr>
        <w:t>,</w:t>
      </w:r>
      <w:r w:rsidRPr="00D1550C">
        <w:rPr>
          <w:sz w:val="26"/>
          <w:szCs w:val="26"/>
        </w:rPr>
        <w:t xml:space="preserve"> </w:t>
      </w:r>
      <w:r w:rsidR="002340C1" w:rsidRPr="00D1550C">
        <w:rPr>
          <w:sz w:val="26"/>
          <w:szCs w:val="26"/>
        </w:rPr>
        <w:t xml:space="preserve">7 </w:t>
      </w:r>
      <w:r w:rsidRPr="00D1550C">
        <w:rPr>
          <w:sz w:val="26"/>
          <w:szCs w:val="26"/>
        </w:rPr>
        <w:t>% for Tajikistan</w:t>
      </w:r>
      <w:r w:rsidR="005A6B03" w:rsidRPr="00D1550C">
        <w:rPr>
          <w:sz w:val="26"/>
          <w:szCs w:val="26"/>
        </w:rPr>
        <w:t xml:space="preserve"> and </w:t>
      </w:r>
      <w:r w:rsidR="002340C1" w:rsidRPr="00D1550C">
        <w:rPr>
          <w:sz w:val="26"/>
          <w:szCs w:val="26"/>
        </w:rPr>
        <w:t>2</w:t>
      </w:r>
      <w:r w:rsidR="000D4B5F" w:rsidRPr="00D1550C">
        <w:rPr>
          <w:sz w:val="26"/>
          <w:szCs w:val="26"/>
        </w:rPr>
        <w:t>% for Kyrgyzstan</w:t>
      </w:r>
      <w:r w:rsidR="007E0518" w:rsidRPr="00D1550C">
        <w:rPr>
          <w:sz w:val="26"/>
          <w:szCs w:val="26"/>
        </w:rPr>
        <w:t>.</w:t>
      </w:r>
      <w:r w:rsidR="00CB42EA" w:rsidRPr="00D1550C">
        <w:rPr>
          <w:rFonts w:cs="Calibri"/>
          <w:color w:val="0070C0"/>
          <w:sz w:val="26"/>
          <w:szCs w:val="26"/>
        </w:rPr>
        <w:t xml:space="preserve"> (Figure </w:t>
      </w:r>
      <w:r w:rsidR="007F5A9F" w:rsidRPr="00D1550C">
        <w:rPr>
          <w:rFonts w:cs="Calibri"/>
          <w:color w:val="0070C0"/>
          <w:sz w:val="26"/>
          <w:szCs w:val="26"/>
        </w:rPr>
        <w:t>2</w:t>
      </w:r>
      <w:r w:rsidR="00CB42EA" w:rsidRPr="00D1550C">
        <w:rPr>
          <w:rFonts w:cs="Calibri"/>
          <w:color w:val="0070C0"/>
          <w:sz w:val="26"/>
          <w:szCs w:val="26"/>
        </w:rPr>
        <w:t>).</w:t>
      </w:r>
    </w:p>
    <w:p w:rsidR="00B31CD7" w:rsidRPr="00D1550C" w:rsidRDefault="00B23450" w:rsidP="00B31CD7">
      <w:pPr>
        <w:jc w:val="right"/>
        <w:rPr>
          <w:rFonts w:cs="Calibri"/>
        </w:rPr>
      </w:pPr>
      <w:r w:rsidRPr="00D1550C">
        <w:rPr>
          <w:rFonts w:cs="Calibri"/>
        </w:rPr>
        <w:t>Figure</w:t>
      </w:r>
      <w:r w:rsidR="00CC154F" w:rsidRPr="00D1550C">
        <w:rPr>
          <w:rFonts w:cs="Calibri"/>
        </w:rPr>
        <w:t xml:space="preserve"> </w:t>
      </w:r>
      <w:r w:rsidR="007F5A9F" w:rsidRPr="00D1550C">
        <w:rPr>
          <w:rFonts w:cs="Calibri"/>
        </w:rPr>
        <w:t>2</w:t>
      </w:r>
    </w:p>
    <w:p w:rsidR="00B31CD7" w:rsidRPr="00D1550C" w:rsidRDefault="004619C5" w:rsidP="00461B09">
      <w:pPr>
        <w:spacing w:before="120"/>
        <w:jc w:val="center"/>
        <w:rPr>
          <w:b/>
          <w:sz w:val="28"/>
          <w:szCs w:val="28"/>
        </w:rPr>
      </w:pPr>
      <w:r w:rsidRPr="00D1550C">
        <w:rPr>
          <w:b/>
          <w:sz w:val="28"/>
          <w:szCs w:val="28"/>
        </w:rPr>
        <w:t>COMPONENTS OF GOODS EXPORTS</w:t>
      </w:r>
    </w:p>
    <w:p w:rsidR="00B31CD7" w:rsidRPr="00D1550C" w:rsidRDefault="00B31CD7" w:rsidP="00911D7A">
      <w:pPr>
        <w:spacing w:before="120"/>
        <w:jc w:val="right"/>
        <w:rPr>
          <w:i/>
          <w:sz w:val="20"/>
          <w:szCs w:val="20"/>
        </w:rPr>
      </w:pPr>
      <w:r w:rsidRPr="00D1550C">
        <w:rPr>
          <w:i/>
          <w:sz w:val="20"/>
          <w:szCs w:val="20"/>
        </w:rPr>
        <w:t>(mln. USD)</w:t>
      </w:r>
    </w:p>
    <w:p w:rsidR="00CD7E2E" w:rsidRPr="00D1550C" w:rsidRDefault="00043411" w:rsidP="0056599C">
      <w:pPr>
        <w:suppressAutoHyphens/>
        <w:spacing w:before="120" w:line="288" w:lineRule="auto"/>
        <w:jc w:val="both"/>
        <w:rPr>
          <w:sz w:val="26"/>
          <w:szCs w:val="26"/>
        </w:rPr>
      </w:pPr>
      <w:r w:rsidRPr="00D1550C">
        <w:rPr>
          <w:noProof/>
          <w:lang w:val="ru-RU"/>
        </w:rPr>
        <w:drawing>
          <wp:inline distT="0" distB="0" distL="0" distR="0" wp14:anchorId="26397A89" wp14:editId="2D3056DD">
            <wp:extent cx="6400800" cy="4244196"/>
            <wp:effectExtent l="0" t="0" r="0" b="444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1CD7" w:rsidRPr="00D1550C" w:rsidRDefault="005D7840" w:rsidP="00A1551F">
      <w:pPr>
        <w:tabs>
          <w:tab w:val="left" w:pos="9498"/>
        </w:tabs>
        <w:suppressAutoHyphens/>
        <w:spacing w:before="120" w:line="288" w:lineRule="auto"/>
        <w:ind w:firstLine="709"/>
        <w:jc w:val="both"/>
        <w:rPr>
          <w:color w:val="2E74B5"/>
          <w:sz w:val="26"/>
          <w:szCs w:val="26"/>
        </w:rPr>
      </w:pPr>
      <w:r w:rsidRPr="005D7840">
        <w:rPr>
          <w:sz w:val="26"/>
          <w:szCs w:val="26"/>
        </w:rPr>
        <w:t>I</w:t>
      </w:r>
      <w:r w:rsidR="00E5328B" w:rsidRPr="00D1550C">
        <w:rPr>
          <w:sz w:val="26"/>
          <w:szCs w:val="26"/>
        </w:rPr>
        <w:t xml:space="preserve">mport of goods increased by </w:t>
      </w:r>
      <w:r w:rsidR="00FE7997" w:rsidRPr="00D1550C">
        <w:rPr>
          <w:sz w:val="26"/>
          <w:szCs w:val="26"/>
        </w:rPr>
        <w:t>24</w:t>
      </w:r>
      <w:r w:rsidR="002340C1" w:rsidRPr="00D1550C">
        <w:rPr>
          <w:sz w:val="26"/>
          <w:szCs w:val="26"/>
        </w:rPr>
        <w:t xml:space="preserve"> </w:t>
      </w:r>
      <w:r w:rsidR="00E5328B" w:rsidRPr="00D1550C">
        <w:rPr>
          <w:sz w:val="26"/>
          <w:szCs w:val="26"/>
        </w:rPr>
        <w:t>%</w:t>
      </w:r>
      <w:r w:rsidR="00FE7997" w:rsidRPr="00D1550C">
        <w:rPr>
          <w:sz w:val="26"/>
          <w:szCs w:val="26"/>
        </w:rPr>
        <w:t xml:space="preserve"> </w:t>
      </w:r>
      <w:r w:rsidR="00EA2249" w:rsidRPr="00D1550C">
        <w:rPr>
          <w:sz w:val="26"/>
          <w:szCs w:val="26"/>
        </w:rPr>
        <w:t>or USD 2.1 billion</w:t>
      </w:r>
      <w:r>
        <w:rPr>
          <w:sz w:val="26"/>
          <w:szCs w:val="26"/>
        </w:rPr>
        <w:t xml:space="preserve"> (</w:t>
      </w:r>
      <w:r w:rsidR="00FE7997" w:rsidRPr="00D1550C">
        <w:rPr>
          <w:sz w:val="26"/>
          <w:szCs w:val="26"/>
        </w:rPr>
        <w:t>USD 2.1 billion)</w:t>
      </w:r>
      <w:r w:rsidR="00E5328B" w:rsidRPr="00D1550C">
        <w:rPr>
          <w:sz w:val="26"/>
          <w:szCs w:val="26"/>
        </w:rPr>
        <w:t xml:space="preserve"> compared </w:t>
      </w:r>
      <w:r w:rsidR="00FE7997" w:rsidRPr="00D1550C">
        <w:rPr>
          <w:rFonts w:cs="Calibri"/>
          <w:sz w:val="26"/>
          <w:szCs w:val="26"/>
        </w:rPr>
        <w:t>to</w:t>
      </w:r>
      <w:r w:rsidR="00915045" w:rsidRPr="00D1550C">
        <w:rPr>
          <w:rFonts w:cs="Calibri"/>
          <w:sz w:val="26"/>
          <w:szCs w:val="26"/>
        </w:rPr>
        <w:t xml:space="preserve"> the 1</w:t>
      </w:r>
      <w:r w:rsidR="00915045" w:rsidRPr="00D1550C">
        <w:rPr>
          <w:rFonts w:cs="Calibri"/>
          <w:sz w:val="26"/>
          <w:szCs w:val="26"/>
          <w:vertAlign w:val="superscript"/>
        </w:rPr>
        <w:t>st</w:t>
      </w:r>
      <w:r w:rsidR="00915045" w:rsidRPr="00D1550C">
        <w:rPr>
          <w:rFonts w:cs="Calibri"/>
          <w:sz w:val="26"/>
          <w:szCs w:val="26"/>
        </w:rPr>
        <w:t xml:space="preserve"> </w:t>
      </w:r>
      <w:r w:rsidR="00E5328B" w:rsidRPr="00D1550C">
        <w:rPr>
          <w:rFonts w:cs="Calibri"/>
          <w:sz w:val="26"/>
          <w:szCs w:val="26"/>
        </w:rPr>
        <w:t>half of 2020</w:t>
      </w:r>
      <w:r w:rsidR="00E5328B" w:rsidRPr="00D1550C">
        <w:rPr>
          <w:sz w:val="26"/>
          <w:szCs w:val="26"/>
        </w:rPr>
        <w:t xml:space="preserve"> (</w:t>
      </w:r>
      <w:r w:rsidR="00043411" w:rsidRPr="00D1550C">
        <w:rPr>
          <w:i/>
          <w:sz w:val="26"/>
          <w:szCs w:val="26"/>
        </w:rPr>
        <w:t>for</w:t>
      </w:r>
      <w:r w:rsidR="00E5328B" w:rsidRPr="00D1550C">
        <w:rPr>
          <w:i/>
          <w:sz w:val="26"/>
          <w:szCs w:val="26"/>
        </w:rPr>
        <w:t xml:space="preserve"> the I half </w:t>
      </w:r>
      <w:r w:rsidR="004F754D" w:rsidRPr="00D1550C">
        <w:rPr>
          <w:i/>
          <w:sz w:val="26"/>
          <w:szCs w:val="26"/>
        </w:rPr>
        <w:t xml:space="preserve">of </w:t>
      </w:r>
      <w:r w:rsidR="00E5328B" w:rsidRPr="00D1550C">
        <w:rPr>
          <w:i/>
          <w:sz w:val="26"/>
          <w:szCs w:val="26"/>
        </w:rPr>
        <w:t xml:space="preserve">2020, decrease by </w:t>
      </w:r>
      <w:r w:rsidR="00AB5ED1" w:rsidRPr="00D1550C">
        <w:rPr>
          <w:i/>
          <w:sz w:val="26"/>
          <w:szCs w:val="26"/>
        </w:rPr>
        <w:t>14</w:t>
      </w:r>
      <w:r w:rsidR="002340C1" w:rsidRPr="00D1550C">
        <w:rPr>
          <w:i/>
          <w:sz w:val="26"/>
          <w:szCs w:val="26"/>
        </w:rPr>
        <w:t xml:space="preserve"> </w:t>
      </w:r>
      <w:r w:rsidR="00E5328B" w:rsidRPr="00D1550C">
        <w:rPr>
          <w:i/>
          <w:sz w:val="26"/>
          <w:szCs w:val="26"/>
        </w:rPr>
        <w:t>% or USD 1</w:t>
      </w:r>
      <w:r w:rsidR="00AB5ED1" w:rsidRPr="00D1550C">
        <w:rPr>
          <w:i/>
          <w:sz w:val="26"/>
          <w:szCs w:val="26"/>
        </w:rPr>
        <w:t>,5</w:t>
      </w:r>
      <w:r w:rsidR="00E5328B" w:rsidRPr="00D1550C">
        <w:rPr>
          <w:i/>
          <w:sz w:val="26"/>
          <w:szCs w:val="26"/>
        </w:rPr>
        <w:t xml:space="preserve"> billion was observed)</w:t>
      </w:r>
      <w:r w:rsidR="00E5328B" w:rsidRPr="00D1550C">
        <w:rPr>
          <w:sz w:val="26"/>
          <w:szCs w:val="26"/>
        </w:rPr>
        <w:t xml:space="preserve"> </w:t>
      </w:r>
      <w:r>
        <w:rPr>
          <w:sz w:val="26"/>
          <w:szCs w:val="26"/>
        </w:rPr>
        <w:br/>
      </w:r>
      <w:r w:rsidR="00040DA5" w:rsidRPr="00D1550C">
        <w:rPr>
          <w:rFonts w:cs="Calibri"/>
          <w:color w:val="0070C0"/>
          <w:sz w:val="26"/>
          <w:szCs w:val="26"/>
        </w:rPr>
        <w:t>(</w:t>
      </w:r>
      <w:r w:rsidR="00B23450" w:rsidRPr="00D1550C">
        <w:rPr>
          <w:rFonts w:cs="Calibri"/>
          <w:color w:val="0070C0"/>
          <w:sz w:val="26"/>
          <w:szCs w:val="26"/>
        </w:rPr>
        <w:t>Figure</w:t>
      </w:r>
      <w:r w:rsidR="00040DA5" w:rsidRPr="00D1550C">
        <w:rPr>
          <w:rFonts w:cs="Calibri"/>
          <w:color w:val="0070C0"/>
          <w:sz w:val="26"/>
          <w:szCs w:val="26"/>
        </w:rPr>
        <w:t xml:space="preserve"> </w:t>
      </w:r>
      <w:r w:rsidR="00557074" w:rsidRPr="00D1550C">
        <w:rPr>
          <w:rFonts w:cs="Calibri"/>
          <w:color w:val="0070C0"/>
          <w:sz w:val="26"/>
          <w:szCs w:val="26"/>
        </w:rPr>
        <w:t>3</w:t>
      </w:r>
      <w:r w:rsidR="00040DA5" w:rsidRPr="00D1550C">
        <w:rPr>
          <w:rFonts w:cs="Calibri"/>
          <w:color w:val="0070C0"/>
          <w:sz w:val="26"/>
          <w:szCs w:val="26"/>
        </w:rPr>
        <w:t>)</w:t>
      </w:r>
      <w:r w:rsidR="005A3B6A" w:rsidRPr="00D1550C">
        <w:rPr>
          <w:rFonts w:cs="Calibri"/>
          <w:color w:val="0070C0"/>
          <w:sz w:val="26"/>
          <w:szCs w:val="26"/>
        </w:rPr>
        <w:t>.</w:t>
      </w:r>
    </w:p>
    <w:p w:rsidR="00B31CD7" w:rsidRPr="00D1550C" w:rsidRDefault="00B23450" w:rsidP="00B31CD7">
      <w:pPr>
        <w:jc w:val="right"/>
        <w:rPr>
          <w:rFonts w:cs="Calibri"/>
        </w:rPr>
      </w:pPr>
      <w:r w:rsidRPr="00D1550C">
        <w:rPr>
          <w:rFonts w:cs="Calibri"/>
        </w:rPr>
        <w:lastRenderedPageBreak/>
        <w:t>Figure</w:t>
      </w:r>
      <w:r w:rsidR="00CC154F" w:rsidRPr="00D1550C">
        <w:rPr>
          <w:rFonts w:cs="Calibri"/>
        </w:rPr>
        <w:t xml:space="preserve"> </w:t>
      </w:r>
      <w:r w:rsidR="00172C6D" w:rsidRPr="00D1550C">
        <w:rPr>
          <w:rFonts w:cs="Calibri"/>
        </w:rPr>
        <w:t>3</w:t>
      </w:r>
    </w:p>
    <w:p w:rsidR="00B31CD7" w:rsidRPr="00D1550C" w:rsidRDefault="004619C5" w:rsidP="00911D7A">
      <w:pPr>
        <w:spacing w:before="120"/>
        <w:jc w:val="center"/>
        <w:rPr>
          <w:b/>
          <w:sz w:val="28"/>
          <w:szCs w:val="28"/>
        </w:rPr>
      </w:pPr>
      <w:r w:rsidRPr="00D1550C">
        <w:rPr>
          <w:b/>
          <w:sz w:val="28"/>
          <w:szCs w:val="28"/>
        </w:rPr>
        <w:t>COMPONENTS OF GOODS IMPORTS</w:t>
      </w:r>
    </w:p>
    <w:p w:rsidR="00B31CD7" w:rsidRPr="00D1550C" w:rsidRDefault="00B31CD7" w:rsidP="00911D7A">
      <w:pPr>
        <w:spacing w:before="120"/>
        <w:jc w:val="right"/>
        <w:rPr>
          <w:i/>
          <w:sz w:val="20"/>
          <w:szCs w:val="20"/>
        </w:rPr>
      </w:pPr>
      <w:r w:rsidRPr="00D1550C">
        <w:rPr>
          <w:i/>
          <w:sz w:val="20"/>
          <w:szCs w:val="20"/>
        </w:rPr>
        <w:t>(mln. USD)</w:t>
      </w:r>
    </w:p>
    <w:p w:rsidR="00B31CD7" w:rsidRPr="00D1550C" w:rsidRDefault="00043411" w:rsidP="00B31CD7">
      <w:pPr>
        <w:jc w:val="center"/>
        <w:rPr>
          <w:b/>
          <w:sz w:val="28"/>
          <w:szCs w:val="28"/>
        </w:rPr>
      </w:pPr>
      <w:r w:rsidRPr="00D1550C">
        <w:rPr>
          <w:noProof/>
          <w:lang w:val="ru-RU"/>
        </w:rPr>
        <w:drawing>
          <wp:inline distT="0" distB="0" distL="0" distR="0" wp14:anchorId="301BD88B" wp14:editId="6508E344">
            <wp:extent cx="6335084" cy="4632325"/>
            <wp:effectExtent l="0" t="0" r="8890" b="1587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6DE9" w:rsidRPr="00D1550C" w:rsidRDefault="00886DE9" w:rsidP="00886DE9">
      <w:pPr>
        <w:tabs>
          <w:tab w:val="left" w:pos="9356"/>
        </w:tabs>
        <w:spacing w:before="120" w:line="288" w:lineRule="auto"/>
        <w:ind w:firstLine="709"/>
        <w:jc w:val="both"/>
        <w:rPr>
          <w:rFonts w:cs="Calibri"/>
          <w:sz w:val="26"/>
          <w:szCs w:val="26"/>
        </w:rPr>
      </w:pPr>
      <w:r w:rsidRPr="00D1550C">
        <w:rPr>
          <w:rFonts w:cs="Calibri"/>
          <w:sz w:val="26"/>
          <w:szCs w:val="26"/>
        </w:rPr>
        <w:t xml:space="preserve">Moreover, for </w:t>
      </w:r>
      <w:r w:rsidR="00512D2F" w:rsidRPr="00D1550C">
        <w:rPr>
          <w:rFonts w:cs="Calibri"/>
          <w:sz w:val="26"/>
          <w:szCs w:val="26"/>
        </w:rPr>
        <w:t xml:space="preserve">the </w:t>
      </w:r>
      <w:r w:rsidR="0063105E" w:rsidRPr="00D1550C">
        <w:rPr>
          <w:rFonts w:cs="Calibri"/>
          <w:sz w:val="26"/>
          <w:szCs w:val="26"/>
        </w:rPr>
        <w:t>1</w:t>
      </w:r>
      <w:r w:rsidR="0063105E" w:rsidRPr="00D1550C">
        <w:rPr>
          <w:rFonts w:cs="Calibri"/>
          <w:sz w:val="26"/>
          <w:szCs w:val="26"/>
          <w:vertAlign w:val="superscript"/>
        </w:rPr>
        <w:t>st</w:t>
      </w:r>
      <w:r w:rsidRPr="00D1550C">
        <w:rPr>
          <w:rFonts w:cs="Calibri"/>
          <w:sz w:val="26"/>
          <w:szCs w:val="26"/>
        </w:rPr>
        <w:t xml:space="preserve"> half of 2021, 75% of total exports of goods </w:t>
      </w:r>
      <w:r w:rsidRPr="00D1550C">
        <w:rPr>
          <w:sz w:val="26"/>
          <w:szCs w:val="26"/>
        </w:rPr>
        <w:t>(</w:t>
      </w:r>
      <w:r w:rsidRPr="00D1550C">
        <w:rPr>
          <w:i/>
          <w:sz w:val="26"/>
          <w:szCs w:val="26"/>
        </w:rPr>
        <w:t>excluding non-monetary gold</w:t>
      </w:r>
      <w:r w:rsidRPr="00D1550C">
        <w:rPr>
          <w:sz w:val="26"/>
          <w:szCs w:val="26"/>
        </w:rPr>
        <w:t>)</w:t>
      </w:r>
      <w:r w:rsidRPr="00D1550C">
        <w:rPr>
          <w:rFonts w:cs="Calibri"/>
          <w:sz w:val="26"/>
          <w:szCs w:val="26"/>
        </w:rPr>
        <w:t xml:space="preserve"> accounted for six countries such as</w:t>
      </w:r>
      <w:r w:rsidRPr="00D1550C">
        <w:rPr>
          <w:sz w:val="26"/>
          <w:szCs w:val="26"/>
        </w:rPr>
        <w:t xml:space="preserve"> Turkey 19</w:t>
      </w:r>
      <w:r w:rsidR="00DD0BF4" w:rsidRPr="00D1550C">
        <w:rPr>
          <w:sz w:val="26"/>
          <w:szCs w:val="26"/>
        </w:rPr>
        <w:t>%</w:t>
      </w:r>
      <w:r w:rsidRPr="00D1550C">
        <w:rPr>
          <w:sz w:val="26"/>
          <w:szCs w:val="26"/>
        </w:rPr>
        <w:t xml:space="preserve">, China </w:t>
      </w:r>
      <w:r w:rsidR="005D7840" w:rsidRPr="00D1550C">
        <w:rPr>
          <w:sz w:val="26"/>
          <w:szCs w:val="26"/>
        </w:rPr>
        <w:t>17%</w:t>
      </w:r>
      <w:r w:rsidR="005D7840">
        <w:rPr>
          <w:sz w:val="26"/>
          <w:szCs w:val="26"/>
        </w:rPr>
        <w:t xml:space="preserve">, </w:t>
      </w:r>
      <w:r w:rsidRPr="00D1550C">
        <w:rPr>
          <w:sz w:val="26"/>
          <w:szCs w:val="26"/>
        </w:rPr>
        <w:t xml:space="preserve">Russia </w:t>
      </w:r>
      <w:r w:rsidR="005D7840" w:rsidRPr="00D1550C">
        <w:rPr>
          <w:sz w:val="26"/>
          <w:szCs w:val="26"/>
        </w:rPr>
        <w:t>16%</w:t>
      </w:r>
      <w:r w:rsidR="005D7840">
        <w:rPr>
          <w:sz w:val="26"/>
          <w:szCs w:val="26"/>
        </w:rPr>
        <w:t>,</w:t>
      </w:r>
      <w:r w:rsidRPr="00D1550C">
        <w:rPr>
          <w:sz w:val="26"/>
          <w:szCs w:val="26"/>
        </w:rPr>
        <w:t xml:space="preserve"> Kazakhstan 11%, Kyrgyzstan 8% and Afghanistan 4%</w:t>
      </w:r>
      <w:r w:rsidRPr="00D1550C">
        <w:rPr>
          <w:rFonts w:cs="Calibri"/>
          <w:sz w:val="26"/>
          <w:szCs w:val="26"/>
        </w:rPr>
        <w:t xml:space="preserve"> </w:t>
      </w:r>
      <w:r w:rsidRPr="00D1550C">
        <w:rPr>
          <w:rFonts w:cs="Calibri"/>
          <w:color w:val="0070C0"/>
          <w:sz w:val="26"/>
          <w:szCs w:val="26"/>
        </w:rPr>
        <w:t>(Figure 4).</w:t>
      </w:r>
    </w:p>
    <w:p w:rsidR="00643605" w:rsidRPr="00D1550C" w:rsidRDefault="005D7840" w:rsidP="00886DE9">
      <w:pPr>
        <w:tabs>
          <w:tab w:val="left" w:pos="9498"/>
        </w:tabs>
        <w:spacing w:before="120" w:line="288" w:lineRule="auto"/>
        <w:ind w:firstLine="709"/>
        <w:jc w:val="both"/>
        <w:rPr>
          <w:rFonts w:cs="Calibri"/>
          <w:color w:val="0070C0"/>
          <w:sz w:val="26"/>
          <w:szCs w:val="26"/>
        </w:rPr>
      </w:pPr>
      <w:r>
        <w:rPr>
          <w:sz w:val="26"/>
          <w:szCs w:val="26"/>
        </w:rPr>
        <w:t>G</w:t>
      </w:r>
      <w:r w:rsidR="00886DE9" w:rsidRPr="00D1550C">
        <w:rPr>
          <w:sz w:val="26"/>
          <w:szCs w:val="26"/>
        </w:rPr>
        <w:t>roup</w:t>
      </w:r>
      <w:r>
        <w:rPr>
          <w:sz w:val="26"/>
          <w:szCs w:val="26"/>
        </w:rPr>
        <w:t>s</w:t>
      </w:r>
      <w:r w:rsidR="00886DE9" w:rsidRPr="00D1550C">
        <w:rPr>
          <w:sz w:val="26"/>
          <w:szCs w:val="26"/>
        </w:rPr>
        <w:t xml:space="preserve"> of goods «precious metals and stones» – USD 1.7 billion (</w:t>
      </w:r>
      <w:r w:rsidR="00886DE9" w:rsidRPr="00D1550C">
        <w:rPr>
          <w:i/>
          <w:sz w:val="26"/>
          <w:szCs w:val="26"/>
        </w:rPr>
        <w:t>USD 2.2 billion for</w:t>
      </w:r>
      <w:r w:rsidR="00774200" w:rsidRPr="00D1550C">
        <w:rPr>
          <w:i/>
          <w:sz w:val="26"/>
          <w:szCs w:val="26"/>
        </w:rPr>
        <w:t xml:space="preserve"> the</w:t>
      </w:r>
      <w:r w:rsidR="00886DE9" w:rsidRPr="00D1550C">
        <w:rPr>
          <w:i/>
          <w:sz w:val="26"/>
          <w:szCs w:val="26"/>
        </w:rPr>
        <w:t xml:space="preserve"> I half of 2020</w:t>
      </w:r>
      <w:r w:rsidR="00886DE9" w:rsidRPr="00D1550C">
        <w:rPr>
          <w:sz w:val="26"/>
          <w:szCs w:val="26"/>
        </w:rPr>
        <w:t>), «textiles and textile products» – USD 1.5 billion (</w:t>
      </w:r>
      <w:r w:rsidR="00886DE9" w:rsidRPr="00D1550C">
        <w:rPr>
          <w:i/>
          <w:sz w:val="26"/>
          <w:szCs w:val="26"/>
        </w:rPr>
        <w:t>USD 925 million for</w:t>
      </w:r>
      <w:r w:rsidR="00774200" w:rsidRPr="00D1550C">
        <w:rPr>
          <w:i/>
          <w:sz w:val="26"/>
          <w:szCs w:val="26"/>
        </w:rPr>
        <w:t xml:space="preserve"> the</w:t>
      </w:r>
      <w:r w:rsidR="00886DE9" w:rsidRPr="00D1550C">
        <w:rPr>
          <w:i/>
          <w:sz w:val="26"/>
          <w:szCs w:val="26"/>
        </w:rPr>
        <w:t xml:space="preserve"> I half of 2020</w:t>
      </w:r>
      <w:r w:rsidR="00886DE9" w:rsidRPr="00D1550C">
        <w:rPr>
          <w:sz w:val="26"/>
          <w:szCs w:val="26"/>
        </w:rPr>
        <w:t>), «nonprecious metals and products of them» – USD 761 million (</w:t>
      </w:r>
      <w:r w:rsidR="00886DE9" w:rsidRPr="00D1550C">
        <w:rPr>
          <w:i/>
          <w:sz w:val="26"/>
          <w:szCs w:val="26"/>
        </w:rPr>
        <w:t xml:space="preserve">USD 461 </w:t>
      </w:r>
      <w:r w:rsidR="00886DE9" w:rsidRPr="00D1550C">
        <w:rPr>
          <w:sz w:val="26"/>
          <w:szCs w:val="26"/>
        </w:rPr>
        <w:t>million</w:t>
      </w:r>
      <w:r w:rsidR="00886DE9" w:rsidRPr="00D1550C">
        <w:rPr>
          <w:i/>
          <w:sz w:val="26"/>
          <w:szCs w:val="26"/>
        </w:rPr>
        <w:t xml:space="preserve"> for </w:t>
      </w:r>
      <w:r w:rsidR="00774200" w:rsidRPr="00D1550C">
        <w:rPr>
          <w:i/>
          <w:sz w:val="26"/>
          <w:szCs w:val="26"/>
        </w:rPr>
        <w:t xml:space="preserve">the </w:t>
      </w:r>
      <w:r w:rsidR="00886DE9" w:rsidRPr="00D1550C">
        <w:rPr>
          <w:i/>
          <w:sz w:val="26"/>
          <w:szCs w:val="26"/>
        </w:rPr>
        <w:t>I half of 2020</w:t>
      </w:r>
      <w:r w:rsidR="00886DE9" w:rsidRPr="00D1550C">
        <w:rPr>
          <w:sz w:val="26"/>
          <w:szCs w:val="26"/>
        </w:rPr>
        <w:t>), «vegetable products» – USD 49</w:t>
      </w:r>
      <w:r w:rsidR="00436194" w:rsidRPr="00D1550C">
        <w:rPr>
          <w:sz w:val="26"/>
          <w:szCs w:val="26"/>
        </w:rPr>
        <w:t>5</w:t>
      </w:r>
      <w:r w:rsidR="00661BC6" w:rsidRPr="00D1550C">
        <w:rPr>
          <w:sz w:val="26"/>
          <w:szCs w:val="26"/>
        </w:rPr>
        <w:t xml:space="preserve"> </w:t>
      </w:r>
      <w:r w:rsidR="00886DE9" w:rsidRPr="00D1550C">
        <w:rPr>
          <w:sz w:val="26"/>
          <w:szCs w:val="26"/>
        </w:rPr>
        <w:t>million (</w:t>
      </w:r>
      <w:r w:rsidR="00886DE9" w:rsidRPr="00D1550C">
        <w:rPr>
          <w:i/>
          <w:sz w:val="26"/>
          <w:szCs w:val="26"/>
        </w:rPr>
        <w:t xml:space="preserve">USD 537 </w:t>
      </w:r>
      <w:r w:rsidR="00886DE9" w:rsidRPr="00D1550C">
        <w:rPr>
          <w:sz w:val="26"/>
          <w:szCs w:val="26"/>
        </w:rPr>
        <w:t>million</w:t>
      </w:r>
      <w:r w:rsidR="00886DE9" w:rsidRPr="00D1550C">
        <w:rPr>
          <w:i/>
          <w:sz w:val="26"/>
          <w:szCs w:val="26"/>
        </w:rPr>
        <w:t xml:space="preserve"> for </w:t>
      </w:r>
      <w:r w:rsidR="00D348E2" w:rsidRPr="00D1550C">
        <w:rPr>
          <w:i/>
          <w:sz w:val="26"/>
          <w:szCs w:val="26"/>
        </w:rPr>
        <w:t xml:space="preserve">the </w:t>
      </w:r>
      <w:r w:rsidR="00886DE9" w:rsidRPr="00D1550C">
        <w:rPr>
          <w:i/>
          <w:sz w:val="26"/>
          <w:szCs w:val="26"/>
        </w:rPr>
        <w:t>I half of 2020</w:t>
      </w:r>
      <w:r w:rsidR="00886DE9" w:rsidRPr="00D1550C">
        <w:rPr>
          <w:sz w:val="26"/>
          <w:szCs w:val="26"/>
        </w:rPr>
        <w:t>), «mineral products» – USD 35</w:t>
      </w:r>
      <w:r w:rsidR="00661BC6" w:rsidRPr="00D1550C">
        <w:rPr>
          <w:sz w:val="26"/>
          <w:szCs w:val="26"/>
        </w:rPr>
        <w:t>3</w:t>
      </w:r>
      <w:r w:rsidR="00886DE9" w:rsidRPr="00D1550C">
        <w:rPr>
          <w:sz w:val="26"/>
          <w:szCs w:val="26"/>
        </w:rPr>
        <w:t xml:space="preserve"> million (</w:t>
      </w:r>
      <w:r w:rsidR="00886DE9" w:rsidRPr="00D1550C">
        <w:rPr>
          <w:i/>
          <w:sz w:val="26"/>
          <w:szCs w:val="26"/>
        </w:rPr>
        <w:t xml:space="preserve">USD 334 million for </w:t>
      </w:r>
      <w:r w:rsidR="00CD2E1A" w:rsidRPr="00D1550C">
        <w:rPr>
          <w:i/>
          <w:sz w:val="26"/>
          <w:szCs w:val="26"/>
        </w:rPr>
        <w:t xml:space="preserve">the </w:t>
      </w:r>
      <w:r w:rsidR="00886DE9" w:rsidRPr="00D1550C">
        <w:rPr>
          <w:i/>
          <w:sz w:val="26"/>
          <w:szCs w:val="26"/>
        </w:rPr>
        <w:t>I half of 2020</w:t>
      </w:r>
      <w:r w:rsidR="00886DE9" w:rsidRPr="00D1550C">
        <w:rPr>
          <w:sz w:val="26"/>
          <w:szCs w:val="26"/>
        </w:rPr>
        <w:t>), «products of chemical industry» – USD 274 million (</w:t>
      </w:r>
      <w:r w:rsidR="00886DE9" w:rsidRPr="00D1550C">
        <w:rPr>
          <w:i/>
          <w:sz w:val="26"/>
          <w:szCs w:val="26"/>
        </w:rPr>
        <w:t xml:space="preserve">USD 240 million for </w:t>
      </w:r>
      <w:r w:rsidR="00CD2E1A" w:rsidRPr="00D1550C">
        <w:rPr>
          <w:i/>
          <w:sz w:val="26"/>
          <w:szCs w:val="26"/>
        </w:rPr>
        <w:t xml:space="preserve">the </w:t>
      </w:r>
      <w:r w:rsidR="00886DE9" w:rsidRPr="00D1550C">
        <w:rPr>
          <w:i/>
          <w:sz w:val="26"/>
          <w:szCs w:val="26"/>
        </w:rPr>
        <w:t>I half of 2020</w:t>
      </w:r>
      <w:r w:rsidR="00886DE9" w:rsidRPr="00D1550C">
        <w:rPr>
          <w:sz w:val="26"/>
          <w:szCs w:val="26"/>
        </w:rPr>
        <w:t>) and «plastic materials and products» – USD 222 million (</w:t>
      </w:r>
      <w:r w:rsidR="00886DE9" w:rsidRPr="00D1550C">
        <w:rPr>
          <w:i/>
          <w:sz w:val="26"/>
          <w:szCs w:val="26"/>
        </w:rPr>
        <w:t xml:space="preserve">USD 153 million for </w:t>
      </w:r>
      <w:r w:rsidR="00CD2E1A" w:rsidRPr="00D1550C">
        <w:rPr>
          <w:i/>
          <w:sz w:val="26"/>
          <w:szCs w:val="26"/>
        </w:rPr>
        <w:t xml:space="preserve">the </w:t>
      </w:r>
      <w:r w:rsidR="00886DE9" w:rsidRPr="00D1550C">
        <w:rPr>
          <w:i/>
          <w:sz w:val="26"/>
          <w:szCs w:val="26"/>
        </w:rPr>
        <w:t>I half of 2020</w:t>
      </w:r>
      <w:r w:rsidR="00886DE9" w:rsidRPr="00D1550C">
        <w:rPr>
          <w:sz w:val="26"/>
          <w:szCs w:val="26"/>
        </w:rPr>
        <w:t>)</w:t>
      </w:r>
      <w:r>
        <w:rPr>
          <w:sz w:val="26"/>
          <w:szCs w:val="26"/>
        </w:rPr>
        <w:t xml:space="preserve"> </w:t>
      </w:r>
      <w:r w:rsidR="00886DE9" w:rsidRPr="00D1550C">
        <w:rPr>
          <w:sz w:val="26"/>
          <w:szCs w:val="26"/>
        </w:rPr>
        <w:t xml:space="preserve">occupied </w:t>
      </w:r>
      <w:r>
        <w:rPr>
          <w:sz w:val="26"/>
          <w:szCs w:val="26"/>
        </w:rPr>
        <w:br/>
      </w:r>
      <w:r w:rsidR="00886DE9" w:rsidRPr="00D1550C">
        <w:rPr>
          <w:sz w:val="26"/>
          <w:szCs w:val="26"/>
        </w:rPr>
        <w:t>a significant share in the structure</w:t>
      </w:r>
      <w:r w:rsidR="0063105E" w:rsidRPr="00D1550C">
        <w:rPr>
          <w:sz w:val="26"/>
          <w:szCs w:val="26"/>
        </w:rPr>
        <w:t xml:space="preserve"> </w:t>
      </w:r>
      <w:r w:rsidR="00886DE9" w:rsidRPr="00D1550C">
        <w:rPr>
          <w:sz w:val="26"/>
          <w:szCs w:val="26"/>
        </w:rPr>
        <w:t>of export and recorded 90% of the total exports of goods (</w:t>
      </w:r>
      <w:r w:rsidR="00886DE9" w:rsidRPr="00D1550C">
        <w:rPr>
          <w:i/>
          <w:sz w:val="26"/>
          <w:szCs w:val="26"/>
        </w:rPr>
        <w:t xml:space="preserve">93% for </w:t>
      </w:r>
      <w:r w:rsidR="00CD2E1A" w:rsidRPr="00D1550C">
        <w:rPr>
          <w:i/>
          <w:sz w:val="26"/>
          <w:szCs w:val="26"/>
        </w:rPr>
        <w:t xml:space="preserve">the </w:t>
      </w:r>
      <w:r w:rsidR="00886DE9" w:rsidRPr="00D1550C">
        <w:rPr>
          <w:i/>
          <w:sz w:val="26"/>
          <w:szCs w:val="26"/>
        </w:rPr>
        <w:t>I half of 2020</w:t>
      </w:r>
      <w:r w:rsidR="00886DE9" w:rsidRPr="00D1550C">
        <w:rPr>
          <w:sz w:val="26"/>
          <w:szCs w:val="26"/>
        </w:rPr>
        <w:t xml:space="preserve">) </w:t>
      </w:r>
      <w:r w:rsidR="00BC6B9A" w:rsidRPr="00D1550C">
        <w:rPr>
          <w:rFonts w:cs="Calibri"/>
          <w:color w:val="0070C0"/>
          <w:sz w:val="26"/>
          <w:szCs w:val="26"/>
        </w:rPr>
        <w:t>(</w:t>
      </w:r>
      <w:r w:rsidR="00B23450" w:rsidRPr="00D1550C">
        <w:rPr>
          <w:rFonts w:cs="Calibri"/>
          <w:color w:val="0070C0"/>
          <w:sz w:val="26"/>
          <w:szCs w:val="26"/>
        </w:rPr>
        <w:t>Figure</w:t>
      </w:r>
      <w:r w:rsidR="00BC6B9A" w:rsidRPr="00D1550C">
        <w:rPr>
          <w:rFonts w:cs="Calibri"/>
          <w:color w:val="0070C0"/>
          <w:sz w:val="26"/>
          <w:szCs w:val="26"/>
        </w:rPr>
        <w:t xml:space="preserve"> </w:t>
      </w:r>
      <w:r w:rsidR="00B9763D" w:rsidRPr="00D1550C">
        <w:rPr>
          <w:rFonts w:cs="Calibri"/>
          <w:color w:val="0070C0"/>
          <w:sz w:val="26"/>
          <w:szCs w:val="26"/>
        </w:rPr>
        <w:t>5</w:t>
      </w:r>
      <w:r w:rsidR="00BC6B9A" w:rsidRPr="00D1550C">
        <w:rPr>
          <w:rFonts w:cs="Calibri"/>
          <w:color w:val="0070C0"/>
          <w:sz w:val="26"/>
          <w:szCs w:val="26"/>
        </w:rPr>
        <w:t>).</w:t>
      </w:r>
    </w:p>
    <w:p w:rsidR="00461B09" w:rsidRDefault="00461B09">
      <w:pPr>
        <w:rPr>
          <w:rFonts w:cs="Calibri"/>
        </w:rPr>
      </w:pPr>
      <w:r>
        <w:rPr>
          <w:rFonts w:cs="Calibri"/>
        </w:rPr>
        <w:br w:type="page"/>
      </w:r>
    </w:p>
    <w:p w:rsidR="00A1551F" w:rsidRPr="00D1550C" w:rsidRDefault="00B23450" w:rsidP="008D7AEC">
      <w:pPr>
        <w:ind w:right="140"/>
        <w:jc w:val="right"/>
        <w:rPr>
          <w:rFonts w:cs="Calibri"/>
        </w:rPr>
      </w:pPr>
      <w:r w:rsidRPr="00D1550C">
        <w:rPr>
          <w:rFonts w:cs="Calibri"/>
        </w:rPr>
        <w:lastRenderedPageBreak/>
        <w:t>Figure</w:t>
      </w:r>
      <w:r w:rsidR="00A1551F" w:rsidRPr="00D1550C">
        <w:rPr>
          <w:rFonts w:cs="Calibri"/>
        </w:rPr>
        <w:t xml:space="preserve"> </w:t>
      </w:r>
      <w:r w:rsidR="00032BF7" w:rsidRPr="00D1550C">
        <w:rPr>
          <w:rFonts w:cs="Calibri"/>
        </w:rPr>
        <w:t>4</w:t>
      </w:r>
    </w:p>
    <w:p w:rsidR="00A1551F" w:rsidRPr="00D1550C" w:rsidRDefault="002F6962" w:rsidP="00A1551F">
      <w:pPr>
        <w:jc w:val="center"/>
        <w:rPr>
          <w:b/>
          <w:sz w:val="28"/>
          <w:szCs w:val="28"/>
        </w:rPr>
      </w:pPr>
      <w:r w:rsidRPr="00D1550C">
        <w:rPr>
          <w:b/>
          <w:sz w:val="28"/>
          <w:szCs w:val="28"/>
        </w:rPr>
        <w:t>MAIN EXPORT DESTINATIONS</w:t>
      </w:r>
    </w:p>
    <w:p w:rsidR="00F24DFC" w:rsidRPr="00D1550C" w:rsidRDefault="00F24DFC" w:rsidP="00A1551F">
      <w:pPr>
        <w:jc w:val="center"/>
        <w:rPr>
          <w:i/>
          <w:sz w:val="28"/>
          <w:szCs w:val="28"/>
        </w:rPr>
      </w:pPr>
      <w:r w:rsidRPr="00D1550C">
        <w:rPr>
          <w:i/>
          <w:szCs w:val="28"/>
        </w:rPr>
        <w:t xml:space="preserve">(without the export of non-monetary gold) </w:t>
      </w:r>
    </w:p>
    <w:p w:rsidR="00492C4B" w:rsidRPr="00D1550C" w:rsidRDefault="005F5FCA" w:rsidP="00911D7A">
      <w:pPr>
        <w:spacing w:before="60" w:line="288" w:lineRule="auto"/>
        <w:jc w:val="right"/>
        <w:rPr>
          <w:sz w:val="26"/>
          <w:szCs w:val="26"/>
        </w:rPr>
      </w:pPr>
      <w:r w:rsidRPr="00D1550C">
        <w:rPr>
          <w:i/>
          <w:sz w:val="20"/>
          <w:szCs w:val="20"/>
        </w:rPr>
        <w:t>(mln.USD)</w:t>
      </w:r>
      <w:r w:rsidR="005770D6" w:rsidRPr="00D1550C">
        <w:t xml:space="preserve"> </w:t>
      </w:r>
      <w:r w:rsidR="00052E3D" w:rsidRPr="00D1550C">
        <w:rPr>
          <w:noProof/>
          <w:lang w:val="ru-RU"/>
        </w:rPr>
        <w:drawing>
          <wp:inline distT="0" distB="0" distL="0" distR="0" wp14:anchorId="09DDEFB6" wp14:editId="339A8671">
            <wp:extent cx="6288262" cy="3776143"/>
            <wp:effectExtent l="0" t="0" r="17780" b="152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551F" w:rsidRPr="00D1550C" w:rsidRDefault="00B23450" w:rsidP="008D7AEC">
      <w:pPr>
        <w:ind w:left="8496" w:right="140"/>
        <w:jc w:val="right"/>
        <w:rPr>
          <w:rFonts w:cs="Calibri"/>
        </w:rPr>
      </w:pPr>
      <w:r w:rsidRPr="00D1550C">
        <w:rPr>
          <w:rFonts w:cs="Calibri"/>
        </w:rPr>
        <w:t>Figure</w:t>
      </w:r>
      <w:r w:rsidR="00821A0E" w:rsidRPr="00D1550C">
        <w:rPr>
          <w:rFonts w:cs="Calibri"/>
        </w:rPr>
        <w:t xml:space="preserve"> </w:t>
      </w:r>
      <w:r w:rsidR="00032BF7" w:rsidRPr="00D1550C">
        <w:rPr>
          <w:rFonts w:cs="Calibri"/>
        </w:rPr>
        <w:t>5</w:t>
      </w:r>
    </w:p>
    <w:p w:rsidR="00A1551F" w:rsidRPr="00D1550C" w:rsidRDefault="002F6962" w:rsidP="00A1551F">
      <w:pPr>
        <w:jc w:val="center"/>
        <w:rPr>
          <w:b/>
          <w:sz w:val="28"/>
          <w:szCs w:val="28"/>
        </w:rPr>
      </w:pPr>
      <w:r w:rsidRPr="00D1550C">
        <w:rPr>
          <w:b/>
          <w:sz w:val="28"/>
          <w:szCs w:val="28"/>
        </w:rPr>
        <w:t xml:space="preserve">MAJOR GROUPS OF </w:t>
      </w:r>
      <w:r w:rsidR="0056599C" w:rsidRPr="00D1550C">
        <w:rPr>
          <w:b/>
          <w:sz w:val="28"/>
          <w:szCs w:val="28"/>
        </w:rPr>
        <w:t>EXPOR</w:t>
      </w:r>
      <w:r w:rsidRPr="00D1550C">
        <w:rPr>
          <w:b/>
          <w:sz w:val="28"/>
          <w:szCs w:val="28"/>
        </w:rPr>
        <w:t>TED PRODUCTS</w:t>
      </w:r>
    </w:p>
    <w:p w:rsidR="00032BF7" w:rsidRPr="00D1550C" w:rsidRDefault="00E657C2" w:rsidP="000221B9">
      <w:pPr>
        <w:spacing w:line="360" w:lineRule="auto"/>
        <w:jc w:val="center"/>
        <w:rPr>
          <w:i/>
          <w:sz w:val="20"/>
          <w:szCs w:val="20"/>
        </w:rPr>
      </w:pPr>
      <w:r w:rsidRPr="00D1550C">
        <w:rPr>
          <w:i/>
          <w:sz w:val="26"/>
          <w:szCs w:val="26"/>
        </w:rPr>
        <w:t xml:space="preserve">(normalized to total volume of </w:t>
      </w:r>
      <w:r w:rsidR="0056599C" w:rsidRPr="00D1550C">
        <w:rPr>
          <w:i/>
          <w:sz w:val="26"/>
          <w:szCs w:val="26"/>
        </w:rPr>
        <w:t>export</w:t>
      </w:r>
      <w:r w:rsidRPr="00D1550C">
        <w:rPr>
          <w:i/>
          <w:sz w:val="26"/>
          <w:szCs w:val="26"/>
        </w:rPr>
        <w:t>)</w:t>
      </w:r>
      <w:r w:rsidR="00032BF7" w:rsidRPr="00D1550C">
        <w:rPr>
          <w:i/>
          <w:sz w:val="20"/>
          <w:szCs w:val="20"/>
        </w:rPr>
        <w:t xml:space="preserve"> </w:t>
      </w:r>
    </w:p>
    <w:p w:rsidR="00937668" w:rsidRPr="00D1550C" w:rsidRDefault="00032BF7" w:rsidP="008D7AEC">
      <w:pPr>
        <w:jc w:val="right"/>
      </w:pPr>
      <w:r w:rsidRPr="00D1550C">
        <w:rPr>
          <w:i/>
          <w:sz w:val="20"/>
          <w:szCs w:val="20"/>
        </w:rPr>
        <w:t>(mln.USD)</w:t>
      </w:r>
      <w:r w:rsidR="008D7AEC" w:rsidRPr="00D1550C">
        <w:t xml:space="preserve"> </w:t>
      </w:r>
      <w:r w:rsidR="00052E3D" w:rsidRPr="00D1550C">
        <w:rPr>
          <w:noProof/>
          <w:lang w:val="ru-RU"/>
        </w:rPr>
        <w:drawing>
          <wp:inline distT="0" distB="0" distL="0" distR="0" wp14:anchorId="049DCAB3" wp14:editId="45B953B3">
            <wp:extent cx="6287770" cy="3622675"/>
            <wp:effectExtent l="0" t="0" r="17780" b="1587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316E" w:rsidRPr="00D1550C" w:rsidRDefault="00826CF5" w:rsidP="00147844">
      <w:pPr>
        <w:spacing w:before="120" w:line="288" w:lineRule="auto"/>
        <w:ind w:firstLine="708"/>
        <w:jc w:val="both"/>
        <w:rPr>
          <w:rFonts w:cs="Calibri"/>
          <w:color w:val="0070C0"/>
          <w:sz w:val="26"/>
          <w:szCs w:val="26"/>
        </w:rPr>
      </w:pPr>
      <w:r w:rsidRPr="00D1550C">
        <w:rPr>
          <w:sz w:val="26"/>
          <w:szCs w:val="26"/>
        </w:rPr>
        <w:lastRenderedPageBreak/>
        <w:t>Besides, the group</w:t>
      </w:r>
      <w:r w:rsidR="002F177E">
        <w:rPr>
          <w:sz w:val="26"/>
          <w:szCs w:val="26"/>
        </w:rPr>
        <w:t>s</w:t>
      </w:r>
      <w:r w:rsidRPr="00D1550C">
        <w:rPr>
          <w:sz w:val="26"/>
          <w:szCs w:val="26"/>
        </w:rPr>
        <w:t xml:space="preserve"> of goods «machinery, equipment, mechanisms» – USD 3.</w:t>
      </w:r>
      <w:r w:rsidR="00741BB1" w:rsidRPr="00D1550C">
        <w:rPr>
          <w:sz w:val="26"/>
          <w:szCs w:val="26"/>
        </w:rPr>
        <w:t>0</w:t>
      </w:r>
      <w:r w:rsidRPr="00D1550C">
        <w:rPr>
          <w:sz w:val="26"/>
          <w:szCs w:val="26"/>
        </w:rPr>
        <w:t xml:space="preserve"> billion (</w:t>
      </w:r>
      <w:r w:rsidRPr="00D1550C">
        <w:rPr>
          <w:i/>
          <w:sz w:val="26"/>
          <w:szCs w:val="26"/>
        </w:rPr>
        <w:t>USD 2.</w:t>
      </w:r>
      <w:r w:rsidR="00741BB1" w:rsidRPr="00D1550C">
        <w:rPr>
          <w:i/>
          <w:sz w:val="26"/>
          <w:szCs w:val="26"/>
        </w:rPr>
        <w:t>9</w:t>
      </w:r>
      <w:r w:rsidR="007721CF" w:rsidRPr="00D1550C">
        <w:rPr>
          <w:i/>
          <w:sz w:val="26"/>
          <w:szCs w:val="26"/>
        </w:rPr>
        <w:t xml:space="preserve"> </w:t>
      </w:r>
      <w:r w:rsidRPr="00D1550C">
        <w:rPr>
          <w:i/>
          <w:sz w:val="26"/>
          <w:szCs w:val="26"/>
        </w:rPr>
        <w:t xml:space="preserve">billion for </w:t>
      </w:r>
      <w:r w:rsidR="007721CF" w:rsidRPr="00D1550C">
        <w:rPr>
          <w:i/>
          <w:sz w:val="26"/>
          <w:szCs w:val="26"/>
        </w:rPr>
        <w:t xml:space="preserve">the </w:t>
      </w:r>
      <w:r w:rsidRPr="00D1550C">
        <w:rPr>
          <w:i/>
          <w:sz w:val="26"/>
          <w:szCs w:val="26"/>
        </w:rPr>
        <w:t>I half of 2020</w:t>
      </w:r>
      <w:r w:rsidRPr="00D1550C">
        <w:rPr>
          <w:sz w:val="26"/>
          <w:szCs w:val="26"/>
        </w:rPr>
        <w:t xml:space="preserve">), «nonprecious metals and products of them» </w:t>
      </w:r>
      <w:r w:rsidR="005D7840">
        <w:rPr>
          <w:sz w:val="26"/>
          <w:szCs w:val="26"/>
        </w:rPr>
        <w:br/>
      </w:r>
      <w:r w:rsidRPr="00D1550C">
        <w:rPr>
          <w:sz w:val="26"/>
          <w:szCs w:val="26"/>
        </w:rPr>
        <w:t>– USD 1.5 billion (</w:t>
      </w:r>
      <w:r w:rsidRPr="00D1550C">
        <w:rPr>
          <w:i/>
          <w:sz w:val="26"/>
          <w:szCs w:val="26"/>
        </w:rPr>
        <w:t xml:space="preserve">USD 1.1 billion for </w:t>
      </w:r>
      <w:r w:rsidR="007721CF" w:rsidRPr="00D1550C">
        <w:rPr>
          <w:i/>
          <w:sz w:val="26"/>
          <w:szCs w:val="26"/>
        </w:rPr>
        <w:t xml:space="preserve">the </w:t>
      </w:r>
      <w:r w:rsidRPr="00D1550C">
        <w:rPr>
          <w:i/>
          <w:sz w:val="26"/>
          <w:szCs w:val="26"/>
        </w:rPr>
        <w:t>I half of 2020</w:t>
      </w:r>
      <w:r w:rsidRPr="00D1550C">
        <w:rPr>
          <w:sz w:val="26"/>
          <w:szCs w:val="26"/>
        </w:rPr>
        <w:t>), «air and water transports» – USD 1.3 billion (</w:t>
      </w:r>
      <w:r w:rsidRPr="00D1550C">
        <w:rPr>
          <w:i/>
          <w:sz w:val="26"/>
          <w:szCs w:val="26"/>
        </w:rPr>
        <w:t>USD 968 million for</w:t>
      </w:r>
      <w:r w:rsidR="00AF1D33" w:rsidRPr="00D1550C">
        <w:rPr>
          <w:i/>
          <w:sz w:val="26"/>
          <w:szCs w:val="26"/>
        </w:rPr>
        <w:t xml:space="preserve"> the</w:t>
      </w:r>
      <w:r w:rsidRPr="00D1550C">
        <w:rPr>
          <w:i/>
          <w:sz w:val="26"/>
          <w:szCs w:val="26"/>
        </w:rPr>
        <w:t xml:space="preserve"> I half of 2020</w:t>
      </w:r>
      <w:r w:rsidRPr="00D1550C">
        <w:rPr>
          <w:sz w:val="26"/>
          <w:szCs w:val="26"/>
        </w:rPr>
        <w:t>), «products of the chemical industry» – USD 1.3 billion (</w:t>
      </w:r>
      <w:r w:rsidRPr="00D1550C">
        <w:rPr>
          <w:i/>
          <w:sz w:val="26"/>
          <w:szCs w:val="26"/>
        </w:rPr>
        <w:t xml:space="preserve">USD 1 billion </w:t>
      </w:r>
      <w:r w:rsidR="00505331" w:rsidRPr="00D1550C">
        <w:rPr>
          <w:i/>
          <w:sz w:val="26"/>
          <w:szCs w:val="26"/>
        </w:rPr>
        <w:t>for the</w:t>
      </w:r>
      <w:r w:rsidRPr="00D1550C">
        <w:rPr>
          <w:i/>
          <w:sz w:val="26"/>
          <w:szCs w:val="26"/>
        </w:rPr>
        <w:t xml:space="preserve"> I half of 2020</w:t>
      </w:r>
      <w:r w:rsidRPr="00D1550C">
        <w:rPr>
          <w:sz w:val="26"/>
          <w:szCs w:val="26"/>
        </w:rPr>
        <w:t>) , «mineral products» – USD 717 million (</w:t>
      </w:r>
      <w:r w:rsidRPr="00D1550C">
        <w:rPr>
          <w:i/>
          <w:sz w:val="26"/>
          <w:szCs w:val="26"/>
        </w:rPr>
        <w:t xml:space="preserve">USD 610 million for </w:t>
      </w:r>
      <w:r w:rsidR="00E90BC3" w:rsidRPr="00D1550C">
        <w:rPr>
          <w:i/>
          <w:sz w:val="26"/>
          <w:szCs w:val="26"/>
        </w:rPr>
        <w:t xml:space="preserve">the </w:t>
      </w:r>
      <w:r w:rsidRPr="00D1550C">
        <w:rPr>
          <w:i/>
          <w:sz w:val="26"/>
          <w:szCs w:val="26"/>
        </w:rPr>
        <w:t>I half of 2020</w:t>
      </w:r>
      <w:r w:rsidRPr="00D1550C">
        <w:rPr>
          <w:sz w:val="26"/>
          <w:szCs w:val="26"/>
        </w:rPr>
        <w:t>)</w:t>
      </w:r>
      <w:r w:rsidR="00841AA0" w:rsidRPr="00D1550C">
        <w:rPr>
          <w:sz w:val="26"/>
          <w:szCs w:val="26"/>
        </w:rPr>
        <w:t>,</w:t>
      </w:r>
      <w:r w:rsidRPr="00D1550C">
        <w:rPr>
          <w:sz w:val="26"/>
          <w:szCs w:val="26"/>
        </w:rPr>
        <w:t xml:space="preserve"> «plastic materials and products» – USD 598 million (</w:t>
      </w:r>
      <w:r w:rsidRPr="00D1550C">
        <w:rPr>
          <w:i/>
          <w:sz w:val="26"/>
          <w:szCs w:val="26"/>
        </w:rPr>
        <w:t>USD 478 million for</w:t>
      </w:r>
      <w:r w:rsidR="00E90BC3" w:rsidRPr="00D1550C">
        <w:rPr>
          <w:i/>
          <w:sz w:val="26"/>
          <w:szCs w:val="26"/>
        </w:rPr>
        <w:t xml:space="preserve"> the</w:t>
      </w:r>
      <w:r w:rsidRPr="00D1550C">
        <w:rPr>
          <w:i/>
          <w:sz w:val="26"/>
          <w:szCs w:val="26"/>
        </w:rPr>
        <w:t xml:space="preserve"> I half of 2020</w:t>
      </w:r>
      <w:r w:rsidRPr="00D1550C">
        <w:rPr>
          <w:sz w:val="26"/>
          <w:szCs w:val="26"/>
        </w:rPr>
        <w:t>)</w:t>
      </w:r>
      <w:r w:rsidR="00841AA0" w:rsidRPr="00D1550C">
        <w:rPr>
          <w:sz w:val="26"/>
          <w:szCs w:val="26"/>
        </w:rPr>
        <w:t xml:space="preserve"> and</w:t>
      </w:r>
      <w:r w:rsidR="00E263EF" w:rsidRPr="00D1550C">
        <w:rPr>
          <w:sz w:val="26"/>
          <w:szCs w:val="26"/>
        </w:rPr>
        <w:t xml:space="preserve"> </w:t>
      </w:r>
      <w:r w:rsidR="00841AA0" w:rsidRPr="00D1550C">
        <w:rPr>
          <w:sz w:val="26"/>
          <w:szCs w:val="26"/>
        </w:rPr>
        <w:t>«vegetable products» – USD 505 million (</w:t>
      </w:r>
      <w:r w:rsidR="00841AA0" w:rsidRPr="00D1550C">
        <w:rPr>
          <w:i/>
          <w:sz w:val="26"/>
          <w:szCs w:val="26"/>
        </w:rPr>
        <w:t xml:space="preserve">USD 378 </w:t>
      </w:r>
      <w:r w:rsidR="00841AA0" w:rsidRPr="00D1550C">
        <w:rPr>
          <w:sz w:val="26"/>
          <w:szCs w:val="26"/>
        </w:rPr>
        <w:t>million</w:t>
      </w:r>
      <w:r w:rsidR="00841AA0" w:rsidRPr="00D1550C">
        <w:rPr>
          <w:i/>
          <w:sz w:val="26"/>
          <w:szCs w:val="26"/>
        </w:rPr>
        <w:t xml:space="preserve"> for the I half of 2020</w:t>
      </w:r>
      <w:r w:rsidR="00841AA0" w:rsidRPr="00D1550C">
        <w:rPr>
          <w:sz w:val="26"/>
          <w:szCs w:val="26"/>
        </w:rPr>
        <w:t xml:space="preserve">) </w:t>
      </w:r>
      <w:r w:rsidR="005D7840" w:rsidRPr="00D1550C">
        <w:rPr>
          <w:sz w:val="26"/>
          <w:szCs w:val="26"/>
        </w:rPr>
        <w:t>occupied a significant share in the structure of import of goods</w:t>
      </w:r>
      <w:r w:rsidRPr="00D1550C">
        <w:rPr>
          <w:sz w:val="26"/>
          <w:szCs w:val="26"/>
        </w:rPr>
        <w:t>. These groups of goods recorded 7</w:t>
      </w:r>
      <w:r w:rsidR="005D374F" w:rsidRPr="00D1550C">
        <w:rPr>
          <w:sz w:val="26"/>
          <w:szCs w:val="26"/>
        </w:rPr>
        <w:t>8</w:t>
      </w:r>
      <w:r w:rsidRPr="00D1550C">
        <w:rPr>
          <w:sz w:val="26"/>
          <w:szCs w:val="26"/>
        </w:rPr>
        <w:t xml:space="preserve">% of the total volume of imports of goods </w:t>
      </w:r>
      <w:r w:rsidRPr="00D1550C">
        <w:rPr>
          <w:i/>
          <w:sz w:val="26"/>
          <w:szCs w:val="26"/>
        </w:rPr>
        <w:t>(6</w:t>
      </w:r>
      <w:r w:rsidR="00E263EF" w:rsidRPr="00D1550C">
        <w:rPr>
          <w:i/>
          <w:sz w:val="26"/>
          <w:szCs w:val="26"/>
        </w:rPr>
        <w:t>8</w:t>
      </w:r>
      <w:r w:rsidRPr="00D1550C">
        <w:rPr>
          <w:i/>
          <w:sz w:val="26"/>
          <w:szCs w:val="26"/>
        </w:rPr>
        <w:t xml:space="preserve">% for </w:t>
      </w:r>
      <w:r w:rsidR="00E20A90" w:rsidRPr="00D1550C">
        <w:rPr>
          <w:i/>
          <w:sz w:val="26"/>
          <w:szCs w:val="26"/>
        </w:rPr>
        <w:t xml:space="preserve">the </w:t>
      </w:r>
      <w:r w:rsidRPr="00D1550C">
        <w:rPr>
          <w:i/>
          <w:sz w:val="26"/>
          <w:szCs w:val="26"/>
        </w:rPr>
        <w:t>I half of 2020)</w:t>
      </w:r>
      <w:r w:rsidR="00FB316E" w:rsidRPr="00D1550C">
        <w:rPr>
          <w:sz w:val="26"/>
          <w:szCs w:val="26"/>
        </w:rPr>
        <w:t xml:space="preserve"> </w:t>
      </w:r>
      <w:r w:rsidR="00FB316E" w:rsidRPr="00D1550C">
        <w:rPr>
          <w:rFonts w:cs="Calibri"/>
          <w:color w:val="0070C0"/>
          <w:sz w:val="26"/>
          <w:szCs w:val="26"/>
        </w:rPr>
        <w:t>(</w:t>
      </w:r>
      <w:r w:rsidR="00B23450" w:rsidRPr="00D1550C">
        <w:rPr>
          <w:rFonts w:cs="Calibri"/>
          <w:color w:val="0070C0"/>
          <w:sz w:val="26"/>
          <w:szCs w:val="26"/>
        </w:rPr>
        <w:t>Figure</w:t>
      </w:r>
      <w:r w:rsidR="00FB316E" w:rsidRPr="00D1550C">
        <w:rPr>
          <w:rFonts w:cs="Calibri"/>
          <w:color w:val="0070C0"/>
          <w:sz w:val="26"/>
          <w:szCs w:val="26"/>
        </w:rPr>
        <w:t xml:space="preserve"> </w:t>
      </w:r>
      <w:r w:rsidR="00EE4DB0" w:rsidRPr="00D1550C">
        <w:rPr>
          <w:rFonts w:cs="Calibri"/>
          <w:color w:val="0070C0"/>
          <w:sz w:val="26"/>
          <w:szCs w:val="26"/>
        </w:rPr>
        <w:t>6</w:t>
      </w:r>
      <w:r w:rsidR="00FB316E" w:rsidRPr="00D1550C">
        <w:rPr>
          <w:rFonts w:cs="Calibri"/>
          <w:color w:val="0070C0"/>
          <w:sz w:val="26"/>
          <w:szCs w:val="26"/>
        </w:rPr>
        <w:t>).</w:t>
      </w:r>
    </w:p>
    <w:p w:rsidR="0056599C" w:rsidRPr="00003E6F" w:rsidRDefault="00B23450" w:rsidP="008337E4">
      <w:pPr>
        <w:ind w:left="8494"/>
        <w:jc w:val="right"/>
        <w:rPr>
          <w:rFonts w:cs="Calibri"/>
        </w:rPr>
      </w:pPr>
      <w:r w:rsidRPr="00003E6F">
        <w:rPr>
          <w:rFonts w:cs="Calibri"/>
        </w:rPr>
        <w:t>Figure</w:t>
      </w:r>
      <w:r w:rsidR="0056599C" w:rsidRPr="00003E6F">
        <w:rPr>
          <w:rFonts w:cs="Calibri"/>
        </w:rPr>
        <w:t xml:space="preserve"> </w:t>
      </w:r>
      <w:r w:rsidR="00EE4DB0" w:rsidRPr="00003E6F">
        <w:rPr>
          <w:rFonts w:cs="Calibri"/>
        </w:rPr>
        <w:t>6</w:t>
      </w:r>
    </w:p>
    <w:p w:rsidR="0056599C" w:rsidRPr="00003E6F" w:rsidRDefault="0056599C" w:rsidP="0056599C">
      <w:pPr>
        <w:jc w:val="center"/>
        <w:rPr>
          <w:b/>
          <w:sz w:val="28"/>
          <w:szCs w:val="28"/>
        </w:rPr>
      </w:pPr>
      <w:r w:rsidRPr="00003E6F">
        <w:rPr>
          <w:b/>
          <w:sz w:val="28"/>
          <w:szCs w:val="28"/>
        </w:rPr>
        <w:t>MAJOR GROUPS OF IMPORTED PRODUCTS</w:t>
      </w:r>
    </w:p>
    <w:p w:rsidR="00EE4DB0" w:rsidRPr="00003E6F" w:rsidRDefault="0056599C" w:rsidP="000221B9">
      <w:pPr>
        <w:spacing w:line="360" w:lineRule="auto"/>
        <w:jc w:val="center"/>
        <w:rPr>
          <w:i/>
          <w:sz w:val="26"/>
          <w:szCs w:val="26"/>
        </w:rPr>
      </w:pPr>
      <w:r w:rsidRPr="00003E6F">
        <w:rPr>
          <w:i/>
          <w:sz w:val="26"/>
          <w:szCs w:val="26"/>
        </w:rPr>
        <w:t>(normalized to total volume of import)</w:t>
      </w:r>
    </w:p>
    <w:p w:rsidR="0056599C" w:rsidRPr="00D1550C" w:rsidRDefault="00EE4DB0" w:rsidP="00EE4DB0">
      <w:pPr>
        <w:spacing w:line="360" w:lineRule="auto"/>
        <w:jc w:val="right"/>
        <w:rPr>
          <w:b/>
          <w:sz w:val="26"/>
          <w:szCs w:val="26"/>
        </w:rPr>
      </w:pPr>
      <w:r w:rsidRPr="00003E6F">
        <w:rPr>
          <w:i/>
          <w:sz w:val="20"/>
          <w:szCs w:val="20"/>
        </w:rPr>
        <w:t xml:space="preserve"> (mln.USD)</w:t>
      </w:r>
    </w:p>
    <w:p w:rsidR="0056599C" w:rsidRPr="00D1550C" w:rsidRDefault="00003E6F" w:rsidP="005A20F1">
      <w:pPr>
        <w:spacing w:line="288" w:lineRule="auto"/>
        <w:jc w:val="right"/>
        <w:rPr>
          <w:i/>
          <w:sz w:val="20"/>
          <w:szCs w:val="20"/>
        </w:rPr>
      </w:pPr>
      <w:r>
        <w:rPr>
          <w:noProof/>
          <w:lang w:val="ru-RU"/>
        </w:rPr>
        <w:drawing>
          <wp:inline distT="0" distB="0" distL="0" distR="0" wp14:anchorId="09F17227" wp14:editId="434B9608">
            <wp:extent cx="6398895" cy="4597880"/>
            <wp:effectExtent l="0" t="0" r="1905"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01E5" w:rsidRPr="00D1550C" w:rsidRDefault="005C25DB" w:rsidP="002B01E5">
      <w:pPr>
        <w:spacing w:before="60" w:line="288" w:lineRule="auto"/>
        <w:ind w:firstLine="709"/>
        <w:jc w:val="both"/>
        <w:rPr>
          <w:sz w:val="26"/>
          <w:szCs w:val="26"/>
        </w:rPr>
      </w:pPr>
      <w:r w:rsidRPr="00D1550C">
        <w:rPr>
          <w:sz w:val="26"/>
          <w:szCs w:val="26"/>
        </w:rPr>
        <w:t xml:space="preserve">Import of goods for </w:t>
      </w:r>
      <w:r w:rsidR="00D25E96" w:rsidRPr="00D1550C">
        <w:rPr>
          <w:sz w:val="26"/>
          <w:szCs w:val="26"/>
        </w:rPr>
        <w:t xml:space="preserve">the </w:t>
      </w:r>
      <w:r w:rsidR="00BD118A" w:rsidRPr="00D1550C">
        <w:rPr>
          <w:sz w:val="26"/>
          <w:szCs w:val="26"/>
        </w:rPr>
        <w:t>1</w:t>
      </w:r>
      <w:r w:rsidR="00BD118A" w:rsidRPr="00D1550C">
        <w:rPr>
          <w:sz w:val="26"/>
          <w:szCs w:val="26"/>
          <w:vertAlign w:val="superscript"/>
        </w:rPr>
        <w:t>st</w:t>
      </w:r>
      <w:r w:rsidR="00BD118A" w:rsidRPr="00D1550C">
        <w:rPr>
          <w:sz w:val="26"/>
          <w:szCs w:val="26"/>
        </w:rPr>
        <w:t xml:space="preserve"> </w:t>
      </w:r>
      <w:r w:rsidRPr="00D1550C">
        <w:rPr>
          <w:sz w:val="26"/>
          <w:szCs w:val="26"/>
        </w:rPr>
        <w:t>half of 2021 from all major trading partners increased by 23% compare to the same period of previous year. The reason for this growth was the recovery in economic activity</w:t>
      </w:r>
      <w:r w:rsidR="002F177E">
        <w:rPr>
          <w:sz w:val="26"/>
          <w:szCs w:val="26"/>
        </w:rPr>
        <w:t xml:space="preserve"> in</w:t>
      </w:r>
      <w:r w:rsidRPr="00D1550C">
        <w:rPr>
          <w:sz w:val="26"/>
          <w:szCs w:val="26"/>
        </w:rPr>
        <w:t xml:space="preserve"> the reporting period.</w:t>
      </w:r>
      <w:r w:rsidR="005D374F" w:rsidRPr="00D1550C">
        <w:rPr>
          <w:sz w:val="26"/>
          <w:szCs w:val="26"/>
        </w:rPr>
        <w:t xml:space="preserve"> </w:t>
      </w:r>
      <w:r w:rsidR="00CC6CC1" w:rsidRPr="00D1550C">
        <w:rPr>
          <w:sz w:val="26"/>
          <w:szCs w:val="26"/>
        </w:rPr>
        <w:t>Herewith, the volume of imported goods from Turkey increased 2 times, from the Kazakhstan – 55%, from Russia</w:t>
      </w:r>
      <w:r w:rsidR="00BD118A" w:rsidRPr="00D1550C">
        <w:rPr>
          <w:sz w:val="26"/>
          <w:szCs w:val="26"/>
        </w:rPr>
        <w:t xml:space="preserve"> – </w:t>
      </w:r>
      <w:r w:rsidR="00CC6CC1" w:rsidRPr="00D1550C">
        <w:rPr>
          <w:sz w:val="26"/>
          <w:szCs w:val="26"/>
        </w:rPr>
        <w:t xml:space="preserve">19% </w:t>
      </w:r>
      <w:r w:rsidR="00CC6CC1" w:rsidRPr="00D1550C">
        <w:rPr>
          <w:color w:val="0070C0"/>
          <w:sz w:val="26"/>
          <w:szCs w:val="26"/>
        </w:rPr>
        <w:t>(Figure 7)</w:t>
      </w:r>
      <w:r w:rsidR="00CC6CC1" w:rsidRPr="00D1550C">
        <w:rPr>
          <w:sz w:val="26"/>
          <w:szCs w:val="26"/>
        </w:rPr>
        <w:t xml:space="preserve">. </w:t>
      </w:r>
    </w:p>
    <w:p w:rsidR="00B025DF" w:rsidRPr="00D1550C" w:rsidRDefault="00CC6CC1" w:rsidP="00CC6CC1">
      <w:pPr>
        <w:spacing w:before="120" w:line="288" w:lineRule="auto"/>
        <w:ind w:firstLine="708"/>
        <w:jc w:val="both"/>
        <w:rPr>
          <w:sz w:val="26"/>
          <w:szCs w:val="26"/>
        </w:rPr>
      </w:pPr>
      <w:r w:rsidRPr="00D1550C">
        <w:rPr>
          <w:sz w:val="26"/>
          <w:szCs w:val="26"/>
        </w:rPr>
        <w:lastRenderedPageBreak/>
        <w:t xml:space="preserve">The total share of these countries in imports for </w:t>
      </w:r>
      <w:r w:rsidR="007B19AC" w:rsidRPr="00D1550C">
        <w:rPr>
          <w:sz w:val="26"/>
          <w:szCs w:val="26"/>
        </w:rPr>
        <w:t xml:space="preserve">the </w:t>
      </w:r>
      <w:r w:rsidR="00AB7C45" w:rsidRPr="00D1550C">
        <w:rPr>
          <w:sz w:val="26"/>
          <w:szCs w:val="26"/>
        </w:rPr>
        <w:t>1</w:t>
      </w:r>
      <w:r w:rsidR="00AB7C45" w:rsidRPr="00D1550C">
        <w:rPr>
          <w:sz w:val="26"/>
          <w:szCs w:val="26"/>
          <w:vertAlign w:val="superscript"/>
        </w:rPr>
        <w:t>st</w:t>
      </w:r>
      <w:r w:rsidRPr="00D1550C">
        <w:rPr>
          <w:sz w:val="26"/>
          <w:szCs w:val="26"/>
        </w:rPr>
        <w:t xml:space="preserve"> half 2021 amounted to 72%, 21% of which accounted for Russia, 20% for China, 12% for Kazakhstan, 9% for Turkey and </w:t>
      </w:r>
      <w:r w:rsidR="00A60049" w:rsidRPr="00D1550C">
        <w:rPr>
          <w:sz w:val="26"/>
          <w:szCs w:val="26"/>
        </w:rPr>
        <w:t xml:space="preserve">7% for </w:t>
      </w:r>
      <w:r w:rsidRPr="00D1550C">
        <w:rPr>
          <w:sz w:val="26"/>
          <w:szCs w:val="26"/>
        </w:rPr>
        <w:t>Republic of Korea. (</w:t>
      </w:r>
      <w:r w:rsidRPr="00D1550C">
        <w:rPr>
          <w:i/>
          <w:sz w:val="26"/>
          <w:szCs w:val="26"/>
        </w:rPr>
        <w:t xml:space="preserve">For </w:t>
      </w:r>
      <w:r w:rsidR="00BD118A" w:rsidRPr="00D1550C">
        <w:rPr>
          <w:i/>
          <w:sz w:val="26"/>
          <w:szCs w:val="26"/>
        </w:rPr>
        <w:t xml:space="preserve">the </w:t>
      </w:r>
      <w:r w:rsidRPr="00D1550C">
        <w:rPr>
          <w:i/>
          <w:sz w:val="26"/>
          <w:szCs w:val="26"/>
        </w:rPr>
        <w:t>I half of 2020, the total shares of these countries in the volume of imports was 73%, of which 22%, 2</w:t>
      </w:r>
      <w:r w:rsidR="002340AB" w:rsidRPr="00D1550C">
        <w:rPr>
          <w:i/>
          <w:sz w:val="26"/>
          <w:szCs w:val="26"/>
        </w:rPr>
        <w:t>2</w:t>
      </w:r>
      <w:r w:rsidRPr="00D1550C">
        <w:rPr>
          <w:i/>
          <w:sz w:val="26"/>
          <w:szCs w:val="26"/>
        </w:rPr>
        <w:t>%, 9%, 5%, 1</w:t>
      </w:r>
      <w:r w:rsidR="002340AB" w:rsidRPr="00D1550C">
        <w:rPr>
          <w:i/>
          <w:sz w:val="26"/>
          <w:szCs w:val="26"/>
        </w:rPr>
        <w:t>2</w:t>
      </w:r>
      <w:r w:rsidRPr="00D1550C">
        <w:rPr>
          <w:i/>
          <w:sz w:val="26"/>
          <w:szCs w:val="26"/>
        </w:rPr>
        <w:t>%</w:t>
      </w:r>
      <w:r w:rsidR="002F177E">
        <w:rPr>
          <w:i/>
          <w:sz w:val="26"/>
          <w:szCs w:val="26"/>
        </w:rPr>
        <w:t xml:space="preserve"> can be attributed to these countries</w:t>
      </w:r>
      <w:r w:rsidRPr="00D1550C">
        <w:rPr>
          <w:i/>
          <w:sz w:val="26"/>
          <w:szCs w:val="26"/>
        </w:rPr>
        <w:t>)</w:t>
      </w:r>
      <w:r w:rsidRPr="00D1550C">
        <w:rPr>
          <w:sz w:val="26"/>
          <w:szCs w:val="26"/>
        </w:rPr>
        <w:t>.</w:t>
      </w:r>
    </w:p>
    <w:p w:rsidR="005A20F1" w:rsidRPr="00D1550C" w:rsidRDefault="009C6863" w:rsidP="009C6863">
      <w:pPr>
        <w:spacing w:before="120" w:line="288" w:lineRule="auto"/>
        <w:ind w:firstLine="708"/>
        <w:jc w:val="both"/>
        <w:rPr>
          <w:sz w:val="26"/>
          <w:szCs w:val="26"/>
        </w:rPr>
      </w:pPr>
      <w:r w:rsidRPr="00D1550C">
        <w:rPr>
          <w:sz w:val="26"/>
          <w:szCs w:val="26"/>
        </w:rPr>
        <w:t>At the same time, the share of European countries increased from 23.8% to 24.4</w:t>
      </w:r>
      <w:r w:rsidR="002F177E">
        <w:rPr>
          <w:sz w:val="26"/>
          <w:szCs w:val="26"/>
        </w:rPr>
        <w:t>%, which was related to</w:t>
      </w:r>
      <w:r w:rsidRPr="00D1550C">
        <w:rPr>
          <w:sz w:val="26"/>
          <w:szCs w:val="26"/>
        </w:rPr>
        <w:t xml:space="preserve"> decrease in the shares of main trading partners in the volume of imports.</w:t>
      </w:r>
    </w:p>
    <w:p w:rsidR="002F177E" w:rsidRDefault="002F177E" w:rsidP="0056599C">
      <w:pPr>
        <w:jc w:val="right"/>
        <w:rPr>
          <w:rFonts w:cs="Calibri"/>
        </w:rPr>
      </w:pPr>
    </w:p>
    <w:p w:rsidR="0056599C" w:rsidRPr="00D1550C" w:rsidRDefault="00B23450" w:rsidP="0056599C">
      <w:pPr>
        <w:jc w:val="right"/>
        <w:rPr>
          <w:rFonts w:cs="Calibri"/>
        </w:rPr>
      </w:pPr>
      <w:r w:rsidRPr="00D1550C">
        <w:rPr>
          <w:rFonts w:cs="Calibri"/>
        </w:rPr>
        <w:t>Figure</w:t>
      </w:r>
      <w:r w:rsidR="0056599C" w:rsidRPr="00D1550C">
        <w:rPr>
          <w:rFonts w:cs="Calibri"/>
        </w:rPr>
        <w:t xml:space="preserve"> </w:t>
      </w:r>
      <w:r w:rsidR="00B025DF" w:rsidRPr="00D1550C">
        <w:rPr>
          <w:rFonts w:cs="Calibri"/>
        </w:rPr>
        <w:t>7</w:t>
      </w:r>
    </w:p>
    <w:p w:rsidR="0056599C" w:rsidRPr="00D1550C" w:rsidRDefault="0056599C" w:rsidP="0056599C">
      <w:pPr>
        <w:jc w:val="center"/>
        <w:rPr>
          <w:b/>
          <w:sz w:val="28"/>
          <w:szCs w:val="28"/>
        </w:rPr>
      </w:pPr>
      <w:r w:rsidRPr="00D1550C">
        <w:rPr>
          <w:b/>
          <w:sz w:val="28"/>
          <w:szCs w:val="28"/>
        </w:rPr>
        <w:t xml:space="preserve">MAIN </w:t>
      </w:r>
      <w:r w:rsidR="00996D84" w:rsidRPr="00D1550C">
        <w:rPr>
          <w:b/>
          <w:sz w:val="28"/>
          <w:szCs w:val="28"/>
        </w:rPr>
        <w:t>IMPORT</w:t>
      </w:r>
      <w:r w:rsidRPr="00D1550C">
        <w:rPr>
          <w:b/>
          <w:sz w:val="28"/>
          <w:szCs w:val="28"/>
        </w:rPr>
        <w:t xml:space="preserve"> DESTINATIONS</w:t>
      </w:r>
    </w:p>
    <w:p w:rsidR="0056599C" w:rsidRPr="00D1550C" w:rsidRDefault="0056599C" w:rsidP="000070A3">
      <w:pPr>
        <w:spacing w:before="120"/>
        <w:jc w:val="right"/>
        <w:rPr>
          <w:sz w:val="26"/>
          <w:szCs w:val="26"/>
        </w:rPr>
      </w:pPr>
      <w:r w:rsidRPr="00D1550C">
        <w:rPr>
          <w:i/>
          <w:sz w:val="20"/>
          <w:szCs w:val="20"/>
        </w:rPr>
        <w:t>(mln.USD)</w:t>
      </w:r>
      <w:r w:rsidRPr="00D1550C">
        <w:t xml:space="preserve"> </w:t>
      </w:r>
    </w:p>
    <w:p w:rsidR="0056599C" w:rsidRPr="00D1550C" w:rsidRDefault="00235136" w:rsidP="000070A3">
      <w:pPr>
        <w:spacing w:before="120"/>
        <w:jc w:val="both"/>
        <w:rPr>
          <w:sz w:val="26"/>
          <w:szCs w:val="26"/>
        </w:rPr>
      </w:pPr>
      <w:r w:rsidRPr="00D1550C">
        <w:rPr>
          <w:noProof/>
          <w:lang w:val="ru-RU"/>
        </w:rPr>
        <w:drawing>
          <wp:inline distT="0" distB="0" distL="0" distR="0" wp14:anchorId="3A0F8C0D" wp14:editId="0CE3A101">
            <wp:extent cx="6400800" cy="4157345"/>
            <wp:effectExtent l="0" t="0" r="0" b="1460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2C55" w:rsidRPr="00D1550C" w:rsidRDefault="00A82C55">
      <w:pPr>
        <w:rPr>
          <w:sz w:val="26"/>
          <w:szCs w:val="26"/>
        </w:rPr>
      </w:pPr>
      <w:r w:rsidRPr="00D1550C">
        <w:rPr>
          <w:sz w:val="26"/>
          <w:szCs w:val="26"/>
        </w:rPr>
        <w:br w:type="page"/>
      </w:r>
    </w:p>
    <w:p w:rsidR="00534944" w:rsidRPr="00D1550C" w:rsidRDefault="00534944" w:rsidP="00F44C0F">
      <w:pPr>
        <w:spacing w:before="120" w:line="288" w:lineRule="auto"/>
        <w:ind w:firstLine="284"/>
        <w:jc w:val="both"/>
        <w:rPr>
          <w:sz w:val="2"/>
          <w:szCs w:val="2"/>
        </w:rPr>
      </w:pPr>
    </w:p>
    <w:p w:rsidR="0036624D" w:rsidRPr="00D1550C" w:rsidRDefault="00492C4B" w:rsidP="00916B82">
      <w:pPr>
        <w:pStyle w:val="21"/>
        <w:spacing w:after="240"/>
        <w:rPr>
          <w:rFonts w:ascii="Calibri" w:hAnsi="Calibri"/>
          <w:lang w:val="en-US"/>
        </w:rPr>
      </w:pPr>
      <w:bookmarkStart w:id="5" w:name="_Toc83291115"/>
      <w:r w:rsidRPr="00D1550C">
        <w:rPr>
          <w:rFonts w:ascii="Calibri" w:hAnsi="Calibri"/>
          <w:lang w:val="en-US"/>
        </w:rPr>
        <w:t>SERVICES</w:t>
      </w:r>
      <w:bookmarkEnd w:id="5"/>
    </w:p>
    <w:p w:rsidR="00F44C0F" w:rsidRPr="00D1550C" w:rsidRDefault="001565B6" w:rsidP="00A63858">
      <w:pPr>
        <w:spacing w:after="120" w:line="288" w:lineRule="auto"/>
        <w:ind w:firstLine="709"/>
        <w:jc w:val="both"/>
        <w:rPr>
          <w:color w:val="2E74B5"/>
          <w:sz w:val="26"/>
          <w:szCs w:val="26"/>
        </w:rPr>
      </w:pPr>
      <w:r w:rsidRPr="00D1550C">
        <w:rPr>
          <w:sz w:val="26"/>
          <w:szCs w:val="26"/>
        </w:rPr>
        <w:t>For</w:t>
      </w:r>
      <w:r w:rsidR="00C5233C" w:rsidRPr="00D1550C">
        <w:rPr>
          <w:sz w:val="26"/>
          <w:szCs w:val="26"/>
        </w:rPr>
        <w:t xml:space="preserve"> the</w:t>
      </w:r>
      <w:r w:rsidRPr="00D1550C">
        <w:rPr>
          <w:sz w:val="26"/>
          <w:szCs w:val="26"/>
        </w:rPr>
        <w:t xml:space="preserve"> </w:t>
      </w:r>
      <w:r w:rsidR="00AE3DA7" w:rsidRPr="00D1550C">
        <w:rPr>
          <w:sz w:val="26"/>
          <w:szCs w:val="26"/>
        </w:rPr>
        <w:t>1</w:t>
      </w:r>
      <w:r w:rsidR="00AE3DA7" w:rsidRPr="00D1550C">
        <w:rPr>
          <w:sz w:val="26"/>
          <w:szCs w:val="26"/>
          <w:vertAlign w:val="superscript"/>
        </w:rPr>
        <w:t>st</w:t>
      </w:r>
      <w:r w:rsidR="00AE3DA7" w:rsidRPr="00D1550C">
        <w:rPr>
          <w:sz w:val="26"/>
          <w:szCs w:val="26"/>
        </w:rPr>
        <w:t xml:space="preserve"> </w:t>
      </w:r>
      <w:r w:rsidRPr="00D1550C">
        <w:rPr>
          <w:sz w:val="26"/>
          <w:szCs w:val="26"/>
        </w:rPr>
        <w:t xml:space="preserve">half of 2021 the deficit in international trade </w:t>
      </w:r>
      <w:r w:rsidR="00AE3DA7" w:rsidRPr="00D1550C">
        <w:rPr>
          <w:sz w:val="26"/>
          <w:szCs w:val="26"/>
        </w:rPr>
        <w:t xml:space="preserve">of services </w:t>
      </w:r>
      <w:r w:rsidRPr="00D1550C">
        <w:rPr>
          <w:sz w:val="26"/>
          <w:szCs w:val="26"/>
        </w:rPr>
        <w:t>increase</w:t>
      </w:r>
      <w:r w:rsidR="00AE3DA7" w:rsidRPr="00D1550C">
        <w:rPr>
          <w:sz w:val="26"/>
          <w:szCs w:val="26"/>
        </w:rPr>
        <w:t>d</w:t>
      </w:r>
      <w:r w:rsidRPr="00D1550C">
        <w:rPr>
          <w:sz w:val="26"/>
          <w:szCs w:val="26"/>
        </w:rPr>
        <w:t xml:space="preserve"> by 31% compared to the same period of 2020 and amounted </w:t>
      </w:r>
      <w:r w:rsidR="00543FA2" w:rsidRPr="00D1550C">
        <w:rPr>
          <w:sz w:val="26"/>
          <w:szCs w:val="26"/>
        </w:rPr>
        <w:t xml:space="preserve">to </w:t>
      </w:r>
      <w:r w:rsidRPr="00D1550C">
        <w:rPr>
          <w:sz w:val="26"/>
          <w:szCs w:val="26"/>
        </w:rPr>
        <w:t xml:space="preserve">USD 1.1 billion. </w:t>
      </w:r>
      <w:r w:rsidR="003E04A0">
        <w:rPr>
          <w:sz w:val="26"/>
          <w:szCs w:val="26"/>
        </w:rPr>
        <w:t>Thus</w:t>
      </w:r>
      <w:r w:rsidRPr="00D1550C">
        <w:rPr>
          <w:sz w:val="26"/>
          <w:szCs w:val="26"/>
        </w:rPr>
        <w:t xml:space="preserve">, volume of </w:t>
      </w:r>
      <w:r w:rsidR="005D50E7" w:rsidRPr="00D1550C">
        <w:rPr>
          <w:sz w:val="26"/>
          <w:szCs w:val="26"/>
        </w:rPr>
        <w:t>export and import of travel related services is</w:t>
      </w:r>
      <w:r w:rsidRPr="00D1550C">
        <w:rPr>
          <w:sz w:val="26"/>
          <w:szCs w:val="26"/>
        </w:rPr>
        <w:t xml:space="preserve"> </w:t>
      </w:r>
      <w:r w:rsidR="001250B4" w:rsidRPr="00D1550C">
        <w:rPr>
          <w:sz w:val="26"/>
          <w:szCs w:val="26"/>
        </w:rPr>
        <w:t xml:space="preserve">gradually </w:t>
      </w:r>
      <w:r w:rsidRPr="00D1550C">
        <w:rPr>
          <w:sz w:val="26"/>
          <w:szCs w:val="26"/>
        </w:rPr>
        <w:t>recover</w:t>
      </w:r>
      <w:r w:rsidR="005D50E7" w:rsidRPr="00D1550C">
        <w:rPr>
          <w:sz w:val="26"/>
          <w:szCs w:val="26"/>
        </w:rPr>
        <w:t>ing</w:t>
      </w:r>
      <w:r w:rsidRPr="00D1550C">
        <w:rPr>
          <w:sz w:val="26"/>
          <w:szCs w:val="26"/>
        </w:rPr>
        <w:t xml:space="preserve"> </w:t>
      </w:r>
      <w:r w:rsidR="001250B4" w:rsidRPr="00D1550C">
        <w:rPr>
          <w:sz w:val="26"/>
          <w:szCs w:val="26"/>
        </w:rPr>
        <w:t>after pandemic, but</w:t>
      </w:r>
      <w:r w:rsidR="003E04A0">
        <w:rPr>
          <w:sz w:val="26"/>
          <w:szCs w:val="26"/>
        </w:rPr>
        <w:t xml:space="preserve"> transportation services reached the</w:t>
      </w:r>
      <w:r w:rsidR="00C003D0" w:rsidRPr="00D1550C">
        <w:rPr>
          <w:sz w:val="26"/>
          <w:szCs w:val="26"/>
        </w:rPr>
        <w:t xml:space="preserve"> level of </w:t>
      </w:r>
      <w:r w:rsidRPr="00D1550C">
        <w:rPr>
          <w:sz w:val="26"/>
          <w:szCs w:val="26"/>
        </w:rPr>
        <w:t>2019.</w:t>
      </w:r>
      <w:r w:rsidR="00F44C0F" w:rsidRPr="00D1550C">
        <w:rPr>
          <w:rFonts w:cs="Calibri"/>
          <w:color w:val="0070C0"/>
          <w:sz w:val="26"/>
          <w:szCs w:val="26"/>
        </w:rPr>
        <w:t xml:space="preserve"> (</w:t>
      </w:r>
      <w:r w:rsidR="00B23450" w:rsidRPr="00D1550C">
        <w:rPr>
          <w:rFonts w:cs="Calibri"/>
          <w:color w:val="0070C0"/>
          <w:sz w:val="26"/>
          <w:szCs w:val="26"/>
        </w:rPr>
        <w:t>Figure</w:t>
      </w:r>
      <w:r w:rsidR="00F44C0F" w:rsidRPr="00D1550C">
        <w:rPr>
          <w:rFonts w:cs="Calibri"/>
          <w:color w:val="0070C0"/>
          <w:sz w:val="26"/>
          <w:szCs w:val="26"/>
        </w:rPr>
        <w:t xml:space="preserve">s </w:t>
      </w:r>
      <w:r w:rsidR="001B7C80" w:rsidRPr="00D1550C">
        <w:rPr>
          <w:rFonts w:cs="Calibri"/>
          <w:color w:val="0070C0"/>
          <w:sz w:val="26"/>
          <w:szCs w:val="26"/>
        </w:rPr>
        <w:t>8</w:t>
      </w:r>
      <w:r w:rsidR="00F44C0F" w:rsidRPr="00D1550C">
        <w:rPr>
          <w:rFonts w:cs="Calibri"/>
          <w:color w:val="0070C0"/>
          <w:sz w:val="26"/>
          <w:szCs w:val="26"/>
        </w:rPr>
        <w:t>,</w:t>
      </w:r>
      <w:r w:rsidR="00090C60" w:rsidRPr="00D1550C">
        <w:rPr>
          <w:rFonts w:cs="Calibri"/>
          <w:color w:val="0070C0"/>
          <w:sz w:val="26"/>
          <w:szCs w:val="26"/>
        </w:rPr>
        <w:t xml:space="preserve"> </w:t>
      </w:r>
      <w:r w:rsidR="001B7C80" w:rsidRPr="00D1550C">
        <w:rPr>
          <w:rFonts w:cs="Calibri"/>
          <w:color w:val="0070C0"/>
          <w:sz w:val="26"/>
          <w:szCs w:val="26"/>
        </w:rPr>
        <w:t>9</w:t>
      </w:r>
      <w:r w:rsidR="00F44C0F" w:rsidRPr="00D1550C">
        <w:rPr>
          <w:rFonts w:cs="Calibri"/>
          <w:color w:val="0070C0"/>
          <w:sz w:val="26"/>
          <w:szCs w:val="26"/>
        </w:rPr>
        <w:t>).</w:t>
      </w:r>
    </w:p>
    <w:p w:rsidR="005F5FCA" w:rsidRPr="00D1550C" w:rsidRDefault="00B23450" w:rsidP="00821A0E">
      <w:pPr>
        <w:ind w:left="8496"/>
        <w:jc w:val="right"/>
        <w:rPr>
          <w:rFonts w:cs="Calibri"/>
        </w:rPr>
      </w:pPr>
      <w:r w:rsidRPr="00D1550C">
        <w:rPr>
          <w:rFonts w:cs="Calibri"/>
        </w:rPr>
        <w:t>Figure</w:t>
      </w:r>
      <w:r w:rsidR="00CC154F" w:rsidRPr="00D1550C">
        <w:rPr>
          <w:rFonts w:cs="Calibri"/>
        </w:rPr>
        <w:t xml:space="preserve"> </w:t>
      </w:r>
      <w:r w:rsidR="001B7C80" w:rsidRPr="00D1550C">
        <w:rPr>
          <w:rFonts w:cs="Calibri"/>
        </w:rPr>
        <w:t>8</w:t>
      </w:r>
    </w:p>
    <w:p w:rsidR="005F5FCA" w:rsidRPr="00D1550C" w:rsidRDefault="004619C5" w:rsidP="005F5FCA">
      <w:pPr>
        <w:jc w:val="center"/>
        <w:rPr>
          <w:rFonts w:cs="Calibri"/>
          <w:b/>
          <w:sz w:val="28"/>
          <w:szCs w:val="28"/>
        </w:rPr>
      </w:pPr>
      <w:r w:rsidRPr="00D1550C">
        <w:rPr>
          <w:rFonts w:cs="Calibri"/>
          <w:b/>
          <w:sz w:val="28"/>
          <w:szCs w:val="28"/>
        </w:rPr>
        <w:t>MAIN TYPES OF EXPORTED SERVICES</w:t>
      </w:r>
    </w:p>
    <w:p w:rsidR="005F5FCA" w:rsidRPr="00D1550C" w:rsidRDefault="005F5FCA" w:rsidP="005F5FCA">
      <w:pPr>
        <w:spacing w:line="288" w:lineRule="auto"/>
        <w:jc w:val="right"/>
      </w:pPr>
      <w:r w:rsidRPr="00D1550C">
        <w:rPr>
          <w:i/>
          <w:sz w:val="20"/>
          <w:szCs w:val="20"/>
        </w:rPr>
        <w:t>(mln.USD)</w:t>
      </w:r>
    </w:p>
    <w:p w:rsidR="005F5FCA" w:rsidRPr="00D1550C" w:rsidRDefault="001250B4" w:rsidP="005F5FCA">
      <w:pPr>
        <w:spacing w:line="288" w:lineRule="auto"/>
        <w:jc w:val="right"/>
        <w:rPr>
          <w:rFonts w:cs="Calibri"/>
          <w:sz w:val="26"/>
          <w:szCs w:val="26"/>
        </w:rPr>
      </w:pPr>
      <w:r w:rsidRPr="00D1550C">
        <w:rPr>
          <w:noProof/>
          <w:lang w:val="ru-RU"/>
        </w:rPr>
        <w:drawing>
          <wp:inline distT="0" distB="0" distL="0" distR="0" wp14:anchorId="3E090FD3" wp14:editId="72B66C78">
            <wp:extent cx="6299835" cy="3692105"/>
            <wp:effectExtent l="0" t="0" r="5715" b="381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40EF" w:rsidRPr="00D1550C" w:rsidRDefault="008540EF" w:rsidP="008540EF">
      <w:pPr>
        <w:spacing w:before="120" w:line="288" w:lineRule="auto"/>
        <w:ind w:firstLine="709"/>
        <w:jc w:val="both"/>
        <w:rPr>
          <w:sz w:val="26"/>
          <w:szCs w:val="26"/>
        </w:rPr>
      </w:pPr>
      <w:r w:rsidRPr="00D1550C">
        <w:rPr>
          <w:sz w:val="26"/>
          <w:szCs w:val="26"/>
        </w:rPr>
        <w:t xml:space="preserve">During the reporting period, volume of exported services amounted to USD 952 million </w:t>
      </w:r>
      <w:r w:rsidRPr="00D1550C">
        <w:rPr>
          <w:i/>
          <w:sz w:val="26"/>
          <w:szCs w:val="26"/>
        </w:rPr>
        <w:t xml:space="preserve">(USD 922 million for </w:t>
      </w:r>
      <w:r w:rsidR="00CD5DAB" w:rsidRPr="00D1550C">
        <w:rPr>
          <w:i/>
          <w:sz w:val="26"/>
          <w:szCs w:val="26"/>
        </w:rPr>
        <w:t xml:space="preserve">the </w:t>
      </w:r>
      <w:r w:rsidRPr="00D1550C">
        <w:rPr>
          <w:i/>
          <w:sz w:val="26"/>
          <w:szCs w:val="26"/>
        </w:rPr>
        <w:t>I half of 2020)</w:t>
      </w:r>
      <w:r w:rsidRPr="00D1550C">
        <w:rPr>
          <w:sz w:val="26"/>
          <w:szCs w:val="26"/>
        </w:rPr>
        <w:t xml:space="preserve">, while their imports amounted to USD 2 billion </w:t>
      </w:r>
      <w:r w:rsidRPr="00D1550C">
        <w:rPr>
          <w:i/>
          <w:sz w:val="26"/>
          <w:szCs w:val="26"/>
        </w:rPr>
        <w:t>(USD 1.</w:t>
      </w:r>
      <w:r w:rsidR="00CD5DAB" w:rsidRPr="00D1550C">
        <w:rPr>
          <w:i/>
          <w:sz w:val="26"/>
          <w:szCs w:val="26"/>
        </w:rPr>
        <w:t>8</w:t>
      </w:r>
      <w:r w:rsidRPr="00D1550C">
        <w:rPr>
          <w:i/>
          <w:sz w:val="26"/>
          <w:szCs w:val="26"/>
        </w:rPr>
        <w:t xml:space="preserve"> billion for </w:t>
      </w:r>
      <w:r w:rsidR="00CD5DAB" w:rsidRPr="00D1550C">
        <w:rPr>
          <w:i/>
          <w:sz w:val="26"/>
          <w:szCs w:val="26"/>
        </w:rPr>
        <w:t xml:space="preserve">the </w:t>
      </w:r>
      <w:r w:rsidRPr="00D1550C">
        <w:rPr>
          <w:i/>
          <w:sz w:val="26"/>
          <w:szCs w:val="26"/>
        </w:rPr>
        <w:t>I half of 2020)</w:t>
      </w:r>
      <w:r w:rsidRPr="00D1550C">
        <w:rPr>
          <w:sz w:val="26"/>
          <w:szCs w:val="26"/>
        </w:rPr>
        <w:t xml:space="preserve">. Transport services and services related to tourism (travel) </w:t>
      </w:r>
      <w:r w:rsidR="00943770" w:rsidRPr="00D1550C">
        <w:rPr>
          <w:sz w:val="26"/>
          <w:szCs w:val="26"/>
        </w:rPr>
        <w:t>accounted for</w:t>
      </w:r>
      <w:r w:rsidRPr="00D1550C">
        <w:rPr>
          <w:sz w:val="26"/>
          <w:szCs w:val="26"/>
        </w:rPr>
        <w:t xml:space="preserve"> 81% of the total</w:t>
      </w:r>
      <w:r w:rsidR="008A7E8A" w:rsidRPr="00D1550C">
        <w:rPr>
          <w:sz w:val="26"/>
          <w:szCs w:val="26"/>
        </w:rPr>
        <w:t xml:space="preserve"> export and import of services.</w:t>
      </w:r>
    </w:p>
    <w:p w:rsidR="00C003D0" w:rsidRPr="00D1550C" w:rsidRDefault="008540EF" w:rsidP="008540EF">
      <w:pPr>
        <w:spacing w:before="120" w:line="288" w:lineRule="auto"/>
        <w:ind w:firstLine="709"/>
        <w:jc w:val="both"/>
        <w:rPr>
          <w:sz w:val="26"/>
          <w:szCs w:val="26"/>
        </w:rPr>
      </w:pPr>
      <w:r w:rsidRPr="00D1550C">
        <w:rPr>
          <w:sz w:val="26"/>
          <w:szCs w:val="26"/>
        </w:rPr>
        <w:t xml:space="preserve">At the same time, the international services related to tourism (travel) decreased in exports (by 17%) </w:t>
      </w:r>
      <w:r w:rsidR="00B22954" w:rsidRPr="00D1550C">
        <w:rPr>
          <w:sz w:val="26"/>
          <w:szCs w:val="26"/>
        </w:rPr>
        <w:t>but</w:t>
      </w:r>
      <w:r w:rsidRPr="00D1550C">
        <w:rPr>
          <w:sz w:val="26"/>
          <w:szCs w:val="26"/>
        </w:rPr>
        <w:t xml:space="preserve"> </w:t>
      </w:r>
      <w:r w:rsidR="00B22954" w:rsidRPr="00D1550C">
        <w:rPr>
          <w:sz w:val="26"/>
          <w:szCs w:val="26"/>
        </w:rPr>
        <w:t>increased in</w:t>
      </w:r>
      <w:r w:rsidRPr="00D1550C">
        <w:rPr>
          <w:sz w:val="26"/>
          <w:szCs w:val="26"/>
        </w:rPr>
        <w:t xml:space="preserve"> imports (by 2%). </w:t>
      </w:r>
      <w:r w:rsidR="0027074B">
        <w:rPr>
          <w:sz w:val="26"/>
          <w:szCs w:val="26"/>
        </w:rPr>
        <w:t>At the same time, b</w:t>
      </w:r>
      <w:r w:rsidR="003E04A0">
        <w:rPr>
          <w:sz w:val="26"/>
          <w:szCs w:val="26"/>
        </w:rPr>
        <w:t>y</w:t>
      </w:r>
      <w:r w:rsidR="00B22954" w:rsidRPr="00D1550C">
        <w:rPr>
          <w:sz w:val="26"/>
          <w:szCs w:val="26"/>
        </w:rPr>
        <w:t xml:space="preserve"> the end of second quarter </w:t>
      </w:r>
      <w:r w:rsidRPr="00D1550C">
        <w:rPr>
          <w:sz w:val="26"/>
          <w:szCs w:val="26"/>
        </w:rPr>
        <w:t xml:space="preserve">of 2021 </w:t>
      </w:r>
      <w:r w:rsidR="00B22954" w:rsidRPr="00D1550C">
        <w:rPr>
          <w:sz w:val="26"/>
          <w:szCs w:val="26"/>
        </w:rPr>
        <w:t xml:space="preserve">the </w:t>
      </w:r>
      <w:r w:rsidR="003E04A0">
        <w:rPr>
          <w:sz w:val="26"/>
          <w:szCs w:val="26"/>
        </w:rPr>
        <w:t xml:space="preserve">number of </w:t>
      </w:r>
      <w:r w:rsidRPr="00D1550C">
        <w:rPr>
          <w:sz w:val="26"/>
          <w:szCs w:val="26"/>
        </w:rPr>
        <w:t>international</w:t>
      </w:r>
      <w:r w:rsidR="00B22954" w:rsidRPr="00D1550C">
        <w:rPr>
          <w:sz w:val="26"/>
          <w:szCs w:val="26"/>
        </w:rPr>
        <w:t xml:space="preserve"> </w:t>
      </w:r>
      <w:r w:rsidR="003E04A0">
        <w:rPr>
          <w:sz w:val="26"/>
          <w:szCs w:val="26"/>
        </w:rPr>
        <w:t>trips</w:t>
      </w:r>
      <w:r w:rsidR="00B22954" w:rsidRPr="00D1550C">
        <w:rPr>
          <w:sz w:val="26"/>
          <w:szCs w:val="26"/>
        </w:rPr>
        <w:t xml:space="preserve"> </w:t>
      </w:r>
      <w:r w:rsidR="003E04A0" w:rsidRPr="00D1550C">
        <w:rPr>
          <w:sz w:val="26"/>
          <w:szCs w:val="26"/>
        </w:rPr>
        <w:t xml:space="preserve">increased </w:t>
      </w:r>
      <w:r w:rsidR="00B22954" w:rsidRPr="00D1550C">
        <w:rPr>
          <w:sz w:val="26"/>
          <w:szCs w:val="26"/>
        </w:rPr>
        <w:t>significantly.</w:t>
      </w:r>
    </w:p>
    <w:p w:rsidR="00C003D0" w:rsidRPr="00D1550C" w:rsidRDefault="00C003D0">
      <w:pPr>
        <w:rPr>
          <w:sz w:val="26"/>
          <w:szCs w:val="26"/>
        </w:rPr>
      </w:pPr>
      <w:r w:rsidRPr="00D1550C">
        <w:rPr>
          <w:sz w:val="26"/>
          <w:szCs w:val="26"/>
        </w:rPr>
        <w:br w:type="page"/>
      </w:r>
    </w:p>
    <w:p w:rsidR="005F5FCA" w:rsidRPr="00D1550C" w:rsidRDefault="00B23450" w:rsidP="00821A0E">
      <w:pPr>
        <w:ind w:left="8496"/>
        <w:jc w:val="right"/>
        <w:rPr>
          <w:rFonts w:cs="Calibri"/>
        </w:rPr>
      </w:pPr>
      <w:r w:rsidRPr="00D1550C">
        <w:rPr>
          <w:rFonts w:cs="Calibri"/>
        </w:rPr>
        <w:lastRenderedPageBreak/>
        <w:t>Figure</w:t>
      </w:r>
      <w:r w:rsidR="00CC154F" w:rsidRPr="00D1550C">
        <w:rPr>
          <w:rFonts w:cs="Calibri"/>
        </w:rPr>
        <w:t xml:space="preserve"> </w:t>
      </w:r>
      <w:r w:rsidR="004D0094" w:rsidRPr="00D1550C">
        <w:rPr>
          <w:rFonts w:cs="Calibri"/>
        </w:rPr>
        <w:t>9</w:t>
      </w:r>
    </w:p>
    <w:p w:rsidR="005F5FCA" w:rsidRPr="00D1550C" w:rsidRDefault="00922256" w:rsidP="005F5FCA">
      <w:pPr>
        <w:jc w:val="center"/>
        <w:rPr>
          <w:b/>
          <w:sz w:val="28"/>
          <w:szCs w:val="28"/>
        </w:rPr>
      </w:pPr>
      <w:r w:rsidRPr="00D1550C">
        <w:rPr>
          <w:b/>
          <w:sz w:val="28"/>
          <w:szCs w:val="28"/>
        </w:rPr>
        <w:t>MAIN TYPES OF IMPORTED SERVICES</w:t>
      </w:r>
    </w:p>
    <w:p w:rsidR="005F5FCA" w:rsidRPr="00D1550C" w:rsidRDefault="005F5FCA" w:rsidP="000B16C5">
      <w:pPr>
        <w:jc w:val="right"/>
      </w:pPr>
      <w:r w:rsidRPr="00D1550C">
        <w:rPr>
          <w:i/>
          <w:sz w:val="20"/>
          <w:szCs w:val="20"/>
        </w:rPr>
        <w:t xml:space="preserve"> (mln.USD)</w:t>
      </w:r>
    </w:p>
    <w:p w:rsidR="005F5FCA" w:rsidRPr="00D1550C" w:rsidRDefault="001250B4" w:rsidP="000B16C5">
      <w:pPr>
        <w:spacing w:before="120"/>
        <w:jc w:val="both"/>
        <w:rPr>
          <w:sz w:val="26"/>
          <w:szCs w:val="26"/>
        </w:rPr>
      </w:pPr>
      <w:r w:rsidRPr="00D1550C">
        <w:rPr>
          <w:noProof/>
          <w:lang w:val="ru-RU"/>
        </w:rPr>
        <w:drawing>
          <wp:inline distT="0" distB="0" distL="0" distR="0" wp14:anchorId="69D941AC" wp14:editId="445B9198">
            <wp:extent cx="6391910" cy="3864634"/>
            <wp:effectExtent l="38100" t="57150" r="46990" b="4064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C6048" w:rsidRPr="00D1550C" w:rsidRDefault="008540EF" w:rsidP="005C6048">
      <w:pPr>
        <w:spacing w:before="120" w:line="288" w:lineRule="auto"/>
        <w:ind w:firstLine="709"/>
        <w:jc w:val="both"/>
        <w:rPr>
          <w:sz w:val="26"/>
          <w:szCs w:val="26"/>
        </w:rPr>
      </w:pPr>
      <w:r w:rsidRPr="00D1550C">
        <w:rPr>
          <w:sz w:val="26"/>
          <w:szCs w:val="26"/>
        </w:rPr>
        <w:t xml:space="preserve">The imports of transportation services were dominated by services provided by rail and road transport. The volume of imports of transport services by rail amounted to </w:t>
      </w:r>
      <w:r w:rsidR="002262A9" w:rsidRPr="00D1550C">
        <w:rPr>
          <w:sz w:val="26"/>
          <w:szCs w:val="26"/>
        </w:rPr>
        <w:br/>
      </w:r>
      <w:r w:rsidRPr="00D1550C">
        <w:rPr>
          <w:sz w:val="26"/>
          <w:szCs w:val="26"/>
        </w:rPr>
        <w:t xml:space="preserve">USD 614 million </w:t>
      </w:r>
      <w:r w:rsidRPr="00D1550C">
        <w:rPr>
          <w:i/>
          <w:sz w:val="26"/>
          <w:szCs w:val="26"/>
        </w:rPr>
        <w:t>(USD 542 million for</w:t>
      </w:r>
      <w:r w:rsidR="006F4EAC" w:rsidRPr="00D1550C">
        <w:rPr>
          <w:i/>
          <w:sz w:val="26"/>
          <w:szCs w:val="26"/>
        </w:rPr>
        <w:t xml:space="preserve"> the</w:t>
      </w:r>
      <w:r w:rsidRPr="00D1550C">
        <w:rPr>
          <w:i/>
          <w:sz w:val="26"/>
          <w:szCs w:val="26"/>
        </w:rPr>
        <w:t xml:space="preserve"> I half of 2020)</w:t>
      </w:r>
      <w:r w:rsidRPr="00D1550C">
        <w:rPr>
          <w:sz w:val="26"/>
          <w:szCs w:val="26"/>
        </w:rPr>
        <w:t xml:space="preserve">, by road transport – USD </w:t>
      </w:r>
      <w:r w:rsidR="006F4EAC" w:rsidRPr="00D1550C">
        <w:rPr>
          <w:sz w:val="26"/>
          <w:szCs w:val="26"/>
        </w:rPr>
        <w:t>207</w:t>
      </w:r>
      <w:r w:rsidRPr="00D1550C">
        <w:rPr>
          <w:sz w:val="26"/>
          <w:szCs w:val="26"/>
        </w:rPr>
        <w:t xml:space="preserve"> million </w:t>
      </w:r>
      <w:r w:rsidRPr="00D1550C">
        <w:rPr>
          <w:i/>
          <w:sz w:val="26"/>
          <w:szCs w:val="26"/>
        </w:rPr>
        <w:t>(USD 11</w:t>
      </w:r>
      <w:r w:rsidR="006F4EAC" w:rsidRPr="00D1550C">
        <w:rPr>
          <w:i/>
          <w:sz w:val="26"/>
          <w:szCs w:val="26"/>
        </w:rPr>
        <w:t>8</w:t>
      </w:r>
      <w:r w:rsidRPr="00D1550C">
        <w:rPr>
          <w:i/>
          <w:sz w:val="26"/>
          <w:szCs w:val="26"/>
        </w:rPr>
        <w:t xml:space="preserve"> million for </w:t>
      </w:r>
      <w:r w:rsidR="002262A9" w:rsidRPr="00D1550C">
        <w:rPr>
          <w:i/>
          <w:sz w:val="26"/>
          <w:szCs w:val="26"/>
        </w:rPr>
        <w:t xml:space="preserve">the </w:t>
      </w:r>
      <w:r w:rsidRPr="00D1550C">
        <w:rPr>
          <w:i/>
          <w:sz w:val="26"/>
          <w:szCs w:val="26"/>
        </w:rPr>
        <w:t>I half of 2020),</w:t>
      </w:r>
      <w:r w:rsidRPr="00D1550C">
        <w:rPr>
          <w:sz w:val="26"/>
          <w:szCs w:val="26"/>
        </w:rPr>
        <w:t xml:space="preserve"> by air transport – USD 58 million </w:t>
      </w:r>
      <w:r w:rsidRPr="00D1550C">
        <w:rPr>
          <w:i/>
          <w:sz w:val="26"/>
          <w:szCs w:val="26"/>
        </w:rPr>
        <w:t xml:space="preserve">(USD </w:t>
      </w:r>
      <w:r w:rsidR="006F4EAC" w:rsidRPr="00D1550C">
        <w:rPr>
          <w:i/>
          <w:sz w:val="26"/>
          <w:szCs w:val="26"/>
        </w:rPr>
        <w:t>117</w:t>
      </w:r>
      <w:r w:rsidRPr="00D1550C">
        <w:rPr>
          <w:i/>
          <w:sz w:val="26"/>
          <w:szCs w:val="26"/>
        </w:rPr>
        <w:t xml:space="preserve"> million for </w:t>
      </w:r>
      <w:r w:rsidR="002262A9" w:rsidRPr="00D1550C">
        <w:rPr>
          <w:i/>
          <w:sz w:val="26"/>
          <w:szCs w:val="26"/>
        </w:rPr>
        <w:t xml:space="preserve">the </w:t>
      </w:r>
      <w:r w:rsidRPr="00D1550C">
        <w:rPr>
          <w:i/>
          <w:sz w:val="26"/>
          <w:szCs w:val="26"/>
        </w:rPr>
        <w:t xml:space="preserve">I half of 2020), </w:t>
      </w:r>
      <w:r w:rsidRPr="00D1550C">
        <w:rPr>
          <w:sz w:val="26"/>
          <w:szCs w:val="26"/>
        </w:rPr>
        <w:t xml:space="preserve">while volume of other types of transport services accounted for </w:t>
      </w:r>
      <w:r w:rsidR="002262A9" w:rsidRPr="00D1550C">
        <w:rPr>
          <w:sz w:val="26"/>
          <w:szCs w:val="26"/>
        </w:rPr>
        <w:br/>
      </w:r>
      <w:r w:rsidRPr="00D1550C">
        <w:rPr>
          <w:sz w:val="26"/>
          <w:szCs w:val="26"/>
        </w:rPr>
        <w:t xml:space="preserve">USD </w:t>
      </w:r>
      <w:r w:rsidR="006F4EAC" w:rsidRPr="00D1550C">
        <w:rPr>
          <w:sz w:val="26"/>
          <w:szCs w:val="26"/>
        </w:rPr>
        <w:t>50</w:t>
      </w:r>
      <w:r w:rsidRPr="00D1550C">
        <w:rPr>
          <w:sz w:val="26"/>
          <w:szCs w:val="26"/>
        </w:rPr>
        <w:t xml:space="preserve"> million</w:t>
      </w:r>
      <w:r w:rsidRPr="00D1550C">
        <w:rPr>
          <w:i/>
          <w:sz w:val="26"/>
          <w:szCs w:val="26"/>
        </w:rPr>
        <w:t xml:space="preserve"> (USD 7</w:t>
      </w:r>
      <w:r w:rsidR="006F4EAC" w:rsidRPr="00D1550C">
        <w:rPr>
          <w:i/>
          <w:sz w:val="26"/>
          <w:szCs w:val="26"/>
        </w:rPr>
        <w:t>3</w:t>
      </w:r>
      <w:r w:rsidRPr="00D1550C">
        <w:rPr>
          <w:i/>
          <w:sz w:val="26"/>
          <w:szCs w:val="26"/>
        </w:rPr>
        <w:t xml:space="preserve"> million for </w:t>
      </w:r>
      <w:r w:rsidR="002262A9" w:rsidRPr="00D1550C">
        <w:rPr>
          <w:i/>
          <w:sz w:val="26"/>
          <w:szCs w:val="26"/>
        </w:rPr>
        <w:t xml:space="preserve">the </w:t>
      </w:r>
      <w:r w:rsidRPr="00D1550C">
        <w:rPr>
          <w:i/>
          <w:sz w:val="26"/>
          <w:szCs w:val="26"/>
        </w:rPr>
        <w:t>I half of 2020).</w:t>
      </w:r>
    </w:p>
    <w:p w:rsidR="005C6048" w:rsidRPr="00D1550C" w:rsidRDefault="00EB6B4E" w:rsidP="00C003D0">
      <w:pPr>
        <w:spacing w:before="120" w:line="276" w:lineRule="auto"/>
        <w:ind w:firstLine="708"/>
        <w:jc w:val="both"/>
        <w:rPr>
          <w:rFonts w:cs="Calibri"/>
          <w:sz w:val="26"/>
          <w:szCs w:val="26"/>
        </w:rPr>
      </w:pPr>
      <w:r w:rsidRPr="00D1550C">
        <w:rPr>
          <w:rFonts w:cs="Calibri"/>
          <w:sz w:val="26"/>
          <w:szCs w:val="26"/>
        </w:rPr>
        <w:t xml:space="preserve"> </w:t>
      </w:r>
      <w:r w:rsidR="005C6048" w:rsidRPr="00D1550C">
        <w:rPr>
          <w:rFonts w:cs="Calibri"/>
          <w:sz w:val="26"/>
          <w:szCs w:val="26"/>
        </w:rPr>
        <w:br w:type="page"/>
      </w:r>
    </w:p>
    <w:p w:rsidR="00747344" w:rsidRPr="00D1550C" w:rsidRDefault="00546120" w:rsidP="00960D4C">
      <w:pPr>
        <w:pStyle w:val="21"/>
        <w:spacing w:before="120" w:after="240"/>
        <w:ind w:left="0" w:firstLine="709"/>
        <w:rPr>
          <w:rFonts w:ascii="Calibri" w:hAnsi="Calibri"/>
          <w:lang w:val="en-US"/>
        </w:rPr>
      </w:pPr>
      <w:bookmarkStart w:id="6" w:name="_Toc83291116"/>
      <w:r w:rsidRPr="00D1550C">
        <w:rPr>
          <w:rFonts w:ascii="Calibri" w:hAnsi="Calibri"/>
          <w:lang w:val="en-US"/>
        </w:rPr>
        <w:lastRenderedPageBreak/>
        <w:t>PRIMARY INCOME</w:t>
      </w:r>
      <w:bookmarkEnd w:id="6"/>
    </w:p>
    <w:p w:rsidR="002E19DD" w:rsidRPr="00D1550C" w:rsidRDefault="002E19DD" w:rsidP="002E19DD">
      <w:pPr>
        <w:spacing w:before="120" w:line="288" w:lineRule="auto"/>
        <w:ind w:firstLine="709"/>
        <w:jc w:val="both"/>
        <w:rPr>
          <w:sz w:val="26"/>
          <w:szCs w:val="26"/>
        </w:rPr>
      </w:pPr>
      <w:r w:rsidRPr="00D1550C">
        <w:rPr>
          <w:sz w:val="26"/>
          <w:szCs w:val="26"/>
        </w:rPr>
        <w:t xml:space="preserve">The positive balance of primary income for </w:t>
      </w:r>
      <w:r w:rsidR="00415A00" w:rsidRPr="00D1550C">
        <w:rPr>
          <w:sz w:val="26"/>
          <w:szCs w:val="26"/>
        </w:rPr>
        <w:t xml:space="preserve">the </w:t>
      </w:r>
      <w:r w:rsidR="00D363D5" w:rsidRPr="00D1550C">
        <w:rPr>
          <w:sz w:val="26"/>
          <w:szCs w:val="26"/>
        </w:rPr>
        <w:t>1</w:t>
      </w:r>
      <w:r w:rsidR="00D363D5" w:rsidRPr="00D1550C">
        <w:rPr>
          <w:sz w:val="26"/>
          <w:szCs w:val="26"/>
          <w:vertAlign w:val="superscript"/>
        </w:rPr>
        <w:t>st</w:t>
      </w:r>
      <w:r w:rsidR="00D363D5" w:rsidRPr="00D1550C">
        <w:rPr>
          <w:sz w:val="26"/>
          <w:szCs w:val="26"/>
        </w:rPr>
        <w:t xml:space="preserve"> half</w:t>
      </w:r>
      <w:r w:rsidRPr="00D1550C">
        <w:rPr>
          <w:sz w:val="26"/>
          <w:szCs w:val="26"/>
        </w:rPr>
        <w:t xml:space="preserve"> of 2021</w:t>
      </w:r>
      <w:r w:rsidRPr="00D1550C">
        <w:rPr>
          <w:i/>
          <w:sz w:val="26"/>
          <w:szCs w:val="26"/>
        </w:rPr>
        <w:t xml:space="preserve"> </w:t>
      </w:r>
      <w:r w:rsidRPr="00D1550C">
        <w:rPr>
          <w:sz w:val="26"/>
          <w:szCs w:val="26"/>
        </w:rPr>
        <w:t xml:space="preserve">was equal to </w:t>
      </w:r>
      <w:r w:rsidR="00C003D0" w:rsidRPr="00D1550C">
        <w:rPr>
          <w:sz w:val="26"/>
          <w:szCs w:val="26"/>
        </w:rPr>
        <w:br/>
      </w:r>
      <w:r w:rsidRPr="00D1550C">
        <w:rPr>
          <w:sz w:val="26"/>
          <w:szCs w:val="26"/>
        </w:rPr>
        <w:t xml:space="preserve">USD 71.4 million </w:t>
      </w:r>
      <w:r w:rsidRPr="00D1550C">
        <w:rPr>
          <w:i/>
          <w:sz w:val="26"/>
          <w:szCs w:val="26"/>
        </w:rPr>
        <w:t xml:space="preserve">(USD 175.7 million for </w:t>
      </w:r>
      <w:r w:rsidR="00415A00" w:rsidRPr="00D1550C">
        <w:rPr>
          <w:i/>
          <w:sz w:val="26"/>
          <w:szCs w:val="26"/>
        </w:rPr>
        <w:t xml:space="preserve">the </w:t>
      </w:r>
      <w:r w:rsidRPr="00D1550C">
        <w:rPr>
          <w:i/>
          <w:sz w:val="26"/>
          <w:szCs w:val="26"/>
        </w:rPr>
        <w:t>I half of 2020)</w:t>
      </w:r>
      <w:r w:rsidRPr="00D1550C">
        <w:rPr>
          <w:sz w:val="26"/>
          <w:szCs w:val="26"/>
        </w:rPr>
        <w:t xml:space="preserve"> </w:t>
      </w:r>
      <w:r w:rsidRPr="00D1550C">
        <w:rPr>
          <w:color w:val="0070C0"/>
          <w:sz w:val="26"/>
          <w:szCs w:val="26"/>
        </w:rPr>
        <w:t>(Figure 10)</w:t>
      </w:r>
      <w:r w:rsidRPr="00D1550C">
        <w:rPr>
          <w:sz w:val="26"/>
          <w:szCs w:val="26"/>
        </w:rPr>
        <w:t>.</w:t>
      </w:r>
      <w:r w:rsidRPr="00D1550C">
        <w:t xml:space="preserve"> </w:t>
      </w:r>
      <w:r w:rsidRPr="00D1550C">
        <w:rPr>
          <w:sz w:val="26"/>
          <w:szCs w:val="26"/>
        </w:rPr>
        <w:t xml:space="preserve">The </w:t>
      </w:r>
      <w:r w:rsidR="00EE5DC8" w:rsidRPr="00D1550C">
        <w:rPr>
          <w:sz w:val="26"/>
          <w:szCs w:val="26"/>
        </w:rPr>
        <w:t xml:space="preserve">formation of positive balance of </w:t>
      </w:r>
      <w:r w:rsidRPr="00D1550C">
        <w:rPr>
          <w:sz w:val="26"/>
          <w:szCs w:val="26"/>
        </w:rPr>
        <w:t xml:space="preserve">primary income is associated with </w:t>
      </w:r>
      <w:r w:rsidR="0027074B">
        <w:rPr>
          <w:sz w:val="26"/>
          <w:szCs w:val="26"/>
        </w:rPr>
        <w:t>the</w:t>
      </w:r>
      <w:r w:rsidRPr="00D1550C">
        <w:rPr>
          <w:sz w:val="26"/>
          <w:szCs w:val="26"/>
        </w:rPr>
        <w:t xml:space="preserve"> growth </w:t>
      </w:r>
      <w:r w:rsidR="0027074B">
        <w:rPr>
          <w:sz w:val="26"/>
          <w:szCs w:val="26"/>
        </w:rPr>
        <w:t>in</w:t>
      </w:r>
      <w:r w:rsidRPr="00D1550C">
        <w:rPr>
          <w:sz w:val="26"/>
          <w:szCs w:val="26"/>
        </w:rPr>
        <w:t xml:space="preserve"> the </w:t>
      </w:r>
      <w:r w:rsidR="0027074B">
        <w:rPr>
          <w:sz w:val="26"/>
          <w:szCs w:val="26"/>
        </w:rPr>
        <w:t>number</w:t>
      </w:r>
      <w:r w:rsidRPr="00D1550C">
        <w:rPr>
          <w:sz w:val="26"/>
          <w:szCs w:val="26"/>
        </w:rPr>
        <w:t xml:space="preserve"> of short-term workers </w:t>
      </w:r>
      <w:r w:rsidR="0027074B">
        <w:rPr>
          <w:sz w:val="26"/>
          <w:szCs w:val="26"/>
        </w:rPr>
        <w:t xml:space="preserve">abroad </w:t>
      </w:r>
      <w:r w:rsidR="00EE5DC8" w:rsidRPr="00D1550C">
        <w:rPr>
          <w:sz w:val="26"/>
          <w:szCs w:val="26"/>
        </w:rPr>
        <w:t xml:space="preserve">as well as </w:t>
      </w:r>
      <w:r w:rsidR="0027074B">
        <w:rPr>
          <w:sz w:val="26"/>
          <w:szCs w:val="26"/>
        </w:rPr>
        <w:t>substantial</w:t>
      </w:r>
      <w:r w:rsidR="00D363D5" w:rsidRPr="00D1550C">
        <w:rPr>
          <w:sz w:val="26"/>
          <w:szCs w:val="26"/>
        </w:rPr>
        <w:t xml:space="preserve"> </w:t>
      </w:r>
      <w:r w:rsidR="00C003D0" w:rsidRPr="00D1550C">
        <w:rPr>
          <w:sz w:val="26"/>
          <w:szCs w:val="26"/>
        </w:rPr>
        <w:t>growth</w:t>
      </w:r>
      <w:r w:rsidR="00EE5DC8" w:rsidRPr="00D1550C">
        <w:rPr>
          <w:sz w:val="26"/>
          <w:szCs w:val="26"/>
        </w:rPr>
        <w:t xml:space="preserve"> </w:t>
      </w:r>
      <w:r w:rsidR="00C003D0" w:rsidRPr="00D1550C">
        <w:rPr>
          <w:sz w:val="26"/>
          <w:szCs w:val="26"/>
        </w:rPr>
        <w:t xml:space="preserve">of </w:t>
      </w:r>
      <w:r w:rsidR="00D363D5" w:rsidRPr="00D1550C">
        <w:rPr>
          <w:sz w:val="26"/>
          <w:szCs w:val="26"/>
        </w:rPr>
        <w:t>their</w:t>
      </w:r>
      <w:r w:rsidRPr="00D1550C">
        <w:rPr>
          <w:sz w:val="26"/>
          <w:szCs w:val="26"/>
        </w:rPr>
        <w:t xml:space="preserve"> </w:t>
      </w:r>
      <w:r w:rsidR="00D363D5" w:rsidRPr="00D1550C">
        <w:rPr>
          <w:sz w:val="26"/>
          <w:szCs w:val="26"/>
        </w:rPr>
        <w:t>income</w:t>
      </w:r>
      <w:r w:rsidRPr="00D1550C">
        <w:rPr>
          <w:sz w:val="26"/>
          <w:szCs w:val="26"/>
        </w:rPr>
        <w:t>.</w:t>
      </w:r>
    </w:p>
    <w:p w:rsidR="00A61459" w:rsidRPr="00D1550C" w:rsidRDefault="002E19DD" w:rsidP="002E19DD">
      <w:pPr>
        <w:spacing w:before="120" w:line="288" w:lineRule="auto"/>
        <w:ind w:firstLine="708"/>
        <w:jc w:val="both"/>
        <w:rPr>
          <w:sz w:val="26"/>
          <w:szCs w:val="26"/>
        </w:rPr>
      </w:pPr>
      <w:r w:rsidRPr="00D1550C">
        <w:rPr>
          <w:sz w:val="26"/>
          <w:szCs w:val="26"/>
        </w:rPr>
        <w:t xml:space="preserve">For </w:t>
      </w:r>
      <w:r w:rsidR="00621DDD" w:rsidRPr="00D1550C">
        <w:rPr>
          <w:sz w:val="26"/>
          <w:szCs w:val="26"/>
        </w:rPr>
        <w:t xml:space="preserve">the </w:t>
      </w:r>
      <w:r w:rsidR="00022479" w:rsidRPr="00D1550C">
        <w:rPr>
          <w:sz w:val="26"/>
          <w:szCs w:val="26"/>
        </w:rPr>
        <w:t>1</w:t>
      </w:r>
      <w:r w:rsidR="00022479" w:rsidRPr="00D1550C">
        <w:rPr>
          <w:sz w:val="26"/>
          <w:szCs w:val="26"/>
          <w:vertAlign w:val="superscript"/>
        </w:rPr>
        <w:t>st</w:t>
      </w:r>
      <w:r w:rsidR="00022479" w:rsidRPr="00D1550C">
        <w:rPr>
          <w:sz w:val="26"/>
          <w:szCs w:val="26"/>
        </w:rPr>
        <w:t xml:space="preserve"> half</w:t>
      </w:r>
      <w:r w:rsidRPr="00D1550C">
        <w:rPr>
          <w:sz w:val="26"/>
          <w:szCs w:val="26"/>
        </w:rPr>
        <w:t xml:space="preserve"> of 2021, the main source of the «Income» component was wages received by short-term workers of Uzbekistan abroad, which amounted to USD 1 billion </w:t>
      </w:r>
      <w:r w:rsidR="0027074B">
        <w:rPr>
          <w:sz w:val="26"/>
          <w:szCs w:val="26"/>
        </w:rPr>
        <w:br/>
      </w:r>
      <w:r w:rsidRPr="00D1550C">
        <w:rPr>
          <w:i/>
          <w:sz w:val="26"/>
          <w:szCs w:val="26"/>
        </w:rPr>
        <w:t>(USD 890 million for</w:t>
      </w:r>
      <w:r w:rsidR="00022479" w:rsidRPr="00D1550C">
        <w:rPr>
          <w:i/>
          <w:sz w:val="26"/>
          <w:szCs w:val="26"/>
        </w:rPr>
        <w:t xml:space="preserve"> the</w:t>
      </w:r>
      <w:r w:rsidRPr="00D1550C">
        <w:rPr>
          <w:i/>
          <w:sz w:val="26"/>
          <w:szCs w:val="26"/>
        </w:rPr>
        <w:t xml:space="preserve"> I half of 2020)</w:t>
      </w:r>
      <w:r w:rsidRPr="00D1550C">
        <w:rPr>
          <w:sz w:val="26"/>
          <w:szCs w:val="26"/>
        </w:rPr>
        <w:t>.</w:t>
      </w:r>
    </w:p>
    <w:p w:rsidR="00A61459" w:rsidRPr="00D1550C" w:rsidRDefault="002E19DD" w:rsidP="00A61459">
      <w:pPr>
        <w:spacing w:before="120" w:line="288" w:lineRule="auto"/>
        <w:ind w:firstLine="709"/>
        <w:jc w:val="both"/>
        <w:rPr>
          <w:sz w:val="26"/>
          <w:szCs w:val="26"/>
        </w:rPr>
      </w:pPr>
      <w:r w:rsidRPr="00D1550C">
        <w:rPr>
          <w:sz w:val="26"/>
          <w:szCs w:val="26"/>
          <w:u w:val="single"/>
        </w:rPr>
        <w:t>Investment income of residents</w:t>
      </w:r>
      <w:r w:rsidRPr="00D1550C">
        <w:rPr>
          <w:sz w:val="26"/>
          <w:szCs w:val="26"/>
        </w:rPr>
        <w:t xml:space="preserve"> equaled USD 24 million </w:t>
      </w:r>
      <w:r w:rsidR="00322E10" w:rsidRPr="00D1550C">
        <w:rPr>
          <w:sz w:val="26"/>
          <w:szCs w:val="26"/>
        </w:rPr>
        <w:t xml:space="preserve">for the </w:t>
      </w:r>
      <w:r w:rsidR="00022479" w:rsidRPr="00D1550C">
        <w:rPr>
          <w:sz w:val="26"/>
          <w:szCs w:val="26"/>
        </w:rPr>
        <w:t>1</w:t>
      </w:r>
      <w:r w:rsidR="00022479" w:rsidRPr="00D1550C">
        <w:rPr>
          <w:sz w:val="26"/>
          <w:szCs w:val="26"/>
          <w:vertAlign w:val="superscript"/>
        </w:rPr>
        <w:t>st</w:t>
      </w:r>
      <w:r w:rsidR="00022479" w:rsidRPr="00D1550C">
        <w:rPr>
          <w:sz w:val="26"/>
          <w:szCs w:val="26"/>
        </w:rPr>
        <w:t xml:space="preserve"> </w:t>
      </w:r>
      <w:r w:rsidRPr="00D1550C">
        <w:rPr>
          <w:sz w:val="26"/>
          <w:szCs w:val="26"/>
        </w:rPr>
        <w:t xml:space="preserve">half of 2021 </w:t>
      </w:r>
      <w:r w:rsidR="0027074B">
        <w:rPr>
          <w:sz w:val="26"/>
          <w:szCs w:val="26"/>
        </w:rPr>
        <w:br/>
      </w:r>
      <w:r w:rsidRPr="00D1550C">
        <w:rPr>
          <w:i/>
          <w:sz w:val="26"/>
          <w:szCs w:val="26"/>
        </w:rPr>
        <w:t xml:space="preserve">(USD 106.4 million for </w:t>
      </w:r>
      <w:r w:rsidR="00322E10" w:rsidRPr="00D1550C">
        <w:rPr>
          <w:i/>
          <w:sz w:val="26"/>
          <w:szCs w:val="26"/>
        </w:rPr>
        <w:t xml:space="preserve">the </w:t>
      </w:r>
      <w:r w:rsidRPr="00D1550C">
        <w:rPr>
          <w:i/>
          <w:sz w:val="26"/>
          <w:szCs w:val="26"/>
        </w:rPr>
        <w:t xml:space="preserve">I half of 2020). </w:t>
      </w:r>
      <w:r w:rsidRPr="00D1550C">
        <w:rPr>
          <w:sz w:val="26"/>
          <w:szCs w:val="26"/>
        </w:rPr>
        <w:t xml:space="preserve">This is </w:t>
      </w:r>
      <w:r w:rsidR="0027074B">
        <w:rPr>
          <w:sz w:val="26"/>
          <w:szCs w:val="26"/>
        </w:rPr>
        <w:t xml:space="preserve">mainly </w:t>
      </w:r>
      <w:r w:rsidRPr="00D1550C">
        <w:rPr>
          <w:sz w:val="26"/>
          <w:szCs w:val="26"/>
        </w:rPr>
        <w:t xml:space="preserve">due to decrease in income </w:t>
      </w:r>
      <w:r w:rsidR="0027074B">
        <w:rPr>
          <w:sz w:val="26"/>
          <w:szCs w:val="26"/>
        </w:rPr>
        <w:t xml:space="preserve">received </w:t>
      </w:r>
      <w:r w:rsidRPr="00D1550C">
        <w:rPr>
          <w:sz w:val="26"/>
          <w:szCs w:val="26"/>
        </w:rPr>
        <w:t>from the placement of international reserves which amounted USD 2</w:t>
      </w:r>
      <w:r w:rsidR="00022479" w:rsidRPr="00D1550C">
        <w:rPr>
          <w:sz w:val="26"/>
          <w:szCs w:val="26"/>
        </w:rPr>
        <w:t>0.9</w:t>
      </w:r>
      <w:r w:rsidRPr="00D1550C">
        <w:rPr>
          <w:sz w:val="26"/>
          <w:szCs w:val="26"/>
        </w:rPr>
        <w:t xml:space="preserve"> million </w:t>
      </w:r>
      <w:r w:rsidRPr="00D1550C">
        <w:rPr>
          <w:i/>
          <w:sz w:val="26"/>
          <w:szCs w:val="26"/>
        </w:rPr>
        <w:t>(USD 10</w:t>
      </w:r>
      <w:r w:rsidR="00022479" w:rsidRPr="00D1550C">
        <w:rPr>
          <w:i/>
          <w:sz w:val="26"/>
          <w:szCs w:val="26"/>
        </w:rPr>
        <w:t>0.4</w:t>
      </w:r>
      <w:r w:rsidRPr="00D1550C">
        <w:rPr>
          <w:i/>
          <w:sz w:val="26"/>
          <w:szCs w:val="26"/>
        </w:rPr>
        <w:t xml:space="preserve"> million for </w:t>
      </w:r>
      <w:r w:rsidR="00322E10" w:rsidRPr="00D1550C">
        <w:rPr>
          <w:i/>
          <w:sz w:val="26"/>
          <w:szCs w:val="26"/>
        </w:rPr>
        <w:t xml:space="preserve">the </w:t>
      </w:r>
      <w:r w:rsidRPr="00D1550C">
        <w:rPr>
          <w:i/>
          <w:sz w:val="26"/>
          <w:szCs w:val="26"/>
        </w:rPr>
        <w:t>I half of 2020)</w:t>
      </w:r>
      <w:r w:rsidRPr="00D1550C">
        <w:rPr>
          <w:sz w:val="26"/>
          <w:szCs w:val="26"/>
        </w:rPr>
        <w:t>. The remaining part of income was mainly earned from correspondent accounts and deposits of residents in foreign banks.</w:t>
      </w:r>
    </w:p>
    <w:p w:rsidR="00EC60EA" w:rsidRPr="00D1550C" w:rsidRDefault="00B23450" w:rsidP="00EB76B0">
      <w:pPr>
        <w:spacing w:before="120"/>
        <w:jc w:val="right"/>
      </w:pPr>
      <w:r w:rsidRPr="00D1550C">
        <w:t>Figure</w:t>
      </w:r>
      <w:r w:rsidR="00CC154F" w:rsidRPr="00D1550C">
        <w:t xml:space="preserve"> </w:t>
      </w:r>
      <w:r w:rsidR="005F4443" w:rsidRPr="00D1550C">
        <w:t>1</w:t>
      </w:r>
      <w:r w:rsidR="003019F0" w:rsidRPr="00D1550C">
        <w:t>0</w:t>
      </w:r>
    </w:p>
    <w:p w:rsidR="001B05F8" w:rsidRPr="00D1550C" w:rsidRDefault="00546120" w:rsidP="001B05F8">
      <w:pPr>
        <w:jc w:val="center"/>
        <w:rPr>
          <w:b/>
          <w:sz w:val="28"/>
          <w:szCs w:val="28"/>
        </w:rPr>
      </w:pPr>
      <w:r w:rsidRPr="00D1550C">
        <w:rPr>
          <w:b/>
          <w:sz w:val="28"/>
          <w:szCs w:val="28"/>
        </w:rPr>
        <w:t>CHANGES IN PRIMARY INCOME COMPONENTS</w:t>
      </w:r>
    </w:p>
    <w:p w:rsidR="001B05F8" w:rsidRPr="00D1550C" w:rsidRDefault="001B05F8" w:rsidP="001B05F8">
      <w:pPr>
        <w:jc w:val="right"/>
        <w:rPr>
          <w:i/>
          <w:sz w:val="20"/>
          <w:szCs w:val="20"/>
        </w:rPr>
      </w:pPr>
      <w:r w:rsidRPr="00D1550C">
        <w:rPr>
          <w:i/>
          <w:sz w:val="20"/>
          <w:szCs w:val="20"/>
        </w:rPr>
        <w:t>(</w:t>
      </w:r>
      <w:r w:rsidR="001A43D7" w:rsidRPr="00D1550C">
        <w:rPr>
          <w:i/>
          <w:sz w:val="20"/>
          <w:szCs w:val="20"/>
        </w:rPr>
        <w:t xml:space="preserve">mln. </w:t>
      </w:r>
      <w:r w:rsidRPr="00D1550C">
        <w:rPr>
          <w:i/>
          <w:sz w:val="20"/>
          <w:szCs w:val="20"/>
        </w:rPr>
        <w:t>USD)</w:t>
      </w:r>
    </w:p>
    <w:p w:rsidR="00EC60EA" w:rsidRPr="00D1550C" w:rsidRDefault="0013061F" w:rsidP="00E83C54">
      <w:pPr>
        <w:spacing w:line="288" w:lineRule="auto"/>
        <w:jc w:val="both"/>
      </w:pPr>
      <w:r w:rsidRPr="00D1550C">
        <w:rPr>
          <w:noProof/>
          <w:lang w:val="ru-RU"/>
        </w:rPr>
        <w:drawing>
          <wp:inline distT="0" distB="0" distL="0" distR="0" wp14:anchorId="059BB7D9" wp14:editId="393E31AC">
            <wp:extent cx="6299835" cy="4830792"/>
            <wp:effectExtent l="0" t="0" r="5715" b="825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1A39" w:rsidRPr="00D1550C" w:rsidRDefault="000C60A4" w:rsidP="00CA1A39">
      <w:pPr>
        <w:spacing w:before="120" w:line="288" w:lineRule="auto"/>
        <w:ind w:firstLine="709"/>
        <w:jc w:val="both"/>
        <w:rPr>
          <w:i/>
          <w:sz w:val="26"/>
          <w:szCs w:val="26"/>
        </w:rPr>
      </w:pPr>
      <w:r w:rsidRPr="00D1550C">
        <w:rPr>
          <w:sz w:val="26"/>
          <w:szCs w:val="26"/>
        </w:rPr>
        <w:lastRenderedPageBreak/>
        <w:t xml:space="preserve">Moreover, </w:t>
      </w:r>
      <w:r w:rsidRPr="00D1550C">
        <w:rPr>
          <w:sz w:val="26"/>
          <w:szCs w:val="26"/>
          <w:u w:val="single"/>
        </w:rPr>
        <w:t>investment income of non-residents in Uzbekistan</w:t>
      </w:r>
      <w:r w:rsidRPr="00D1550C">
        <w:rPr>
          <w:sz w:val="26"/>
          <w:szCs w:val="26"/>
        </w:rPr>
        <w:t xml:space="preserve"> amounted to </w:t>
      </w:r>
      <w:r w:rsidRPr="00D1550C">
        <w:rPr>
          <w:sz w:val="26"/>
          <w:szCs w:val="26"/>
        </w:rPr>
        <w:br/>
        <w:t>USD 906.</w:t>
      </w:r>
      <w:r w:rsidR="00F07A42" w:rsidRPr="00D1550C">
        <w:rPr>
          <w:sz w:val="26"/>
          <w:szCs w:val="26"/>
        </w:rPr>
        <w:t>8</w:t>
      </w:r>
      <w:r w:rsidRPr="00D1550C">
        <w:rPr>
          <w:sz w:val="26"/>
          <w:szCs w:val="26"/>
        </w:rPr>
        <w:t xml:space="preserve"> million </w:t>
      </w:r>
      <w:r w:rsidRPr="00D1550C">
        <w:rPr>
          <w:i/>
          <w:sz w:val="26"/>
          <w:szCs w:val="26"/>
        </w:rPr>
        <w:t>(USD 771.4 million for</w:t>
      </w:r>
      <w:r w:rsidR="0091641A" w:rsidRPr="00D1550C">
        <w:rPr>
          <w:i/>
          <w:sz w:val="26"/>
          <w:szCs w:val="26"/>
        </w:rPr>
        <w:t xml:space="preserve"> the</w:t>
      </w:r>
      <w:r w:rsidRPr="00D1550C">
        <w:rPr>
          <w:i/>
          <w:sz w:val="26"/>
          <w:szCs w:val="26"/>
        </w:rPr>
        <w:t xml:space="preserve"> I half of 2020)</w:t>
      </w:r>
      <w:r w:rsidRPr="00D1550C">
        <w:rPr>
          <w:sz w:val="26"/>
          <w:szCs w:val="26"/>
        </w:rPr>
        <w:t>, including</w:t>
      </w:r>
      <w:r w:rsidR="00CF0E36" w:rsidRPr="00D1550C">
        <w:rPr>
          <w:sz w:val="26"/>
          <w:szCs w:val="26"/>
        </w:rPr>
        <w:t xml:space="preserve"> income </w:t>
      </w:r>
      <w:r w:rsidRPr="00D1550C">
        <w:rPr>
          <w:sz w:val="26"/>
          <w:szCs w:val="26"/>
        </w:rPr>
        <w:t xml:space="preserve">from sovereign bonds of Uzbekistan and Eurobonds of commercial banks </w:t>
      </w:r>
      <w:r w:rsidR="00F07A42" w:rsidRPr="00D1550C">
        <w:rPr>
          <w:sz w:val="26"/>
          <w:szCs w:val="26"/>
        </w:rPr>
        <w:t xml:space="preserve">amounted to </w:t>
      </w:r>
      <w:r w:rsidR="00F07A42" w:rsidRPr="00D1550C">
        <w:rPr>
          <w:i/>
          <w:sz w:val="26"/>
          <w:szCs w:val="26"/>
        </w:rPr>
        <w:t>USD 76.3 million</w:t>
      </w:r>
      <w:r w:rsidR="00F07A42" w:rsidRPr="00D1550C">
        <w:rPr>
          <w:sz w:val="26"/>
          <w:szCs w:val="26"/>
        </w:rPr>
        <w:t xml:space="preserve"> </w:t>
      </w:r>
      <w:r w:rsidR="0027074B">
        <w:rPr>
          <w:sz w:val="26"/>
          <w:szCs w:val="26"/>
        </w:rPr>
        <w:br/>
      </w:r>
      <w:r w:rsidRPr="00D1550C">
        <w:rPr>
          <w:i/>
          <w:sz w:val="26"/>
          <w:szCs w:val="26"/>
        </w:rPr>
        <w:t xml:space="preserve">(USD </w:t>
      </w:r>
      <w:r w:rsidR="00F07A42" w:rsidRPr="00D1550C">
        <w:rPr>
          <w:i/>
          <w:sz w:val="26"/>
          <w:szCs w:val="26"/>
        </w:rPr>
        <w:t>34</w:t>
      </w:r>
      <w:r w:rsidRPr="00D1550C">
        <w:rPr>
          <w:i/>
          <w:sz w:val="26"/>
          <w:szCs w:val="26"/>
        </w:rPr>
        <w:t>.</w:t>
      </w:r>
      <w:r w:rsidR="00F07A42" w:rsidRPr="00D1550C">
        <w:rPr>
          <w:i/>
          <w:sz w:val="26"/>
          <w:szCs w:val="26"/>
        </w:rPr>
        <w:t>6</w:t>
      </w:r>
      <w:r w:rsidRPr="00D1550C">
        <w:rPr>
          <w:i/>
          <w:sz w:val="26"/>
          <w:szCs w:val="26"/>
        </w:rPr>
        <w:t xml:space="preserve"> million for </w:t>
      </w:r>
      <w:r w:rsidR="0091641A" w:rsidRPr="00D1550C">
        <w:rPr>
          <w:i/>
          <w:sz w:val="26"/>
          <w:szCs w:val="26"/>
        </w:rPr>
        <w:t xml:space="preserve">the </w:t>
      </w:r>
      <w:r w:rsidRPr="00D1550C">
        <w:rPr>
          <w:i/>
          <w:sz w:val="26"/>
          <w:szCs w:val="26"/>
        </w:rPr>
        <w:t>I half of 202</w:t>
      </w:r>
      <w:r w:rsidR="00F07A42" w:rsidRPr="00D1550C">
        <w:rPr>
          <w:i/>
          <w:sz w:val="26"/>
          <w:szCs w:val="26"/>
        </w:rPr>
        <w:t>0</w:t>
      </w:r>
      <w:r w:rsidRPr="00D1550C">
        <w:rPr>
          <w:i/>
          <w:sz w:val="26"/>
          <w:szCs w:val="26"/>
        </w:rPr>
        <w:t>)</w:t>
      </w:r>
      <w:r w:rsidRPr="00D1550C">
        <w:rPr>
          <w:sz w:val="26"/>
          <w:szCs w:val="26"/>
        </w:rPr>
        <w:t xml:space="preserve">. In addition, direct investment income amounted to USD 451.1 million </w:t>
      </w:r>
      <w:r w:rsidRPr="00D1550C">
        <w:rPr>
          <w:i/>
          <w:sz w:val="26"/>
          <w:szCs w:val="26"/>
        </w:rPr>
        <w:t xml:space="preserve">(USD 353.4 million for </w:t>
      </w:r>
      <w:r w:rsidR="00DA6476" w:rsidRPr="00D1550C">
        <w:rPr>
          <w:i/>
          <w:sz w:val="26"/>
          <w:szCs w:val="26"/>
        </w:rPr>
        <w:t xml:space="preserve">the </w:t>
      </w:r>
      <w:r w:rsidRPr="00D1550C">
        <w:rPr>
          <w:i/>
          <w:sz w:val="26"/>
          <w:szCs w:val="26"/>
        </w:rPr>
        <w:t>I half of 2020).</w:t>
      </w:r>
    </w:p>
    <w:p w:rsidR="00380203" w:rsidRPr="00D1550C" w:rsidRDefault="00CF46FC" w:rsidP="002716FD">
      <w:pPr>
        <w:pStyle w:val="21"/>
        <w:keepNext w:val="0"/>
        <w:widowControl w:val="0"/>
        <w:spacing w:after="240"/>
        <w:ind w:left="0" w:firstLine="709"/>
        <w:rPr>
          <w:rFonts w:ascii="Calibri" w:hAnsi="Calibri"/>
          <w:lang w:val="en-US"/>
        </w:rPr>
      </w:pPr>
      <w:bookmarkStart w:id="7" w:name="_Toc83291117"/>
      <w:r w:rsidRPr="00D1550C">
        <w:rPr>
          <w:rFonts w:ascii="Calibri" w:hAnsi="Calibri"/>
          <w:lang w:val="en-US"/>
        </w:rPr>
        <w:t>SECONDARY INCOME</w:t>
      </w:r>
      <w:bookmarkEnd w:id="7"/>
    </w:p>
    <w:p w:rsidR="00640C46" w:rsidRPr="00D1550C" w:rsidRDefault="00640C46" w:rsidP="00640C46">
      <w:pPr>
        <w:spacing w:before="120" w:line="288" w:lineRule="auto"/>
        <w:ind w:firstLine="709"/>
        <w:jc w:val="both"/>
        <w:rPr>
          <w:sz w:val="26"/>
          <w:szCs w:val="26"/>
        </w:rPr>
      </w:pPr>
      <w:r w:rsidRPr="00D1550C">
        <w:rPr>
          <w:sz w:val="26"/>
          <w:szCs w:val="26"/>
        </w:rPr>
        <w:t xml:space="preserve">The positive balance of secondary income amounted to USD 2.5 billion </w:t>
      </w:r>
      <w:r w:rsidRPr="00D1550C">
        <w:rPr>
          <w:i/>
          <w:sz w:val="26"/>
          <w:szCs w:val="26"/>
        </w:rPr>
        <w:t xml:space="preserve">(USD 2.1 billion for </w:t>
      </w:r>
      <w:r w:rsidR="007972F4" w:rsidRPr="00D1550C">
        <w:rPr>
          <w:i/>
          <w:sz w:val="26"/>
          <w:szCs w:val="26"/>
        </w:rPr>
        <w:t xml:space="preserve">the </w:t>
      </w:r>
      <w:r w:rsidRPr="00D1550C">
        <w:rPr>
          <w:i/>
          <w:sz w:val="26"/>
          <w:szCs w:val="26"/>
        </w:rPr>
        <w:t>I half of 2020)</w:t>
      </w:r>
      <w:r w:rsidRPr="00D1550C">
        <w:rPr>
          <w:sz w:val="26"/>
          <w:szCs w:val="26"/>
        </w:rPr>
        <w:t>. The positive balance remains stable mainly due to cross-border remittances of long-term workers.</w:t>
      </w:r>
    </w:p>
    <w:p w:rsidR="00F44C0F" w:rsidRPr="00D1550C" w:rsidRDefault="00640C46" w:rsidP="00640C46">
      <w:pPr>
        <w:spacing w:before="120" w:line="288" w:lineRule="auto"/>
        <w:ind w:firstLine="709"/>
        <w:jc w:val="both"/>
        <w:rPr>
          <w:sz w:val="26"/>
          <w:szCs w:val="26"/>
        </w:rPr>
      </w:pPr>
      <w:r w:rsidRPr="00D1550C">
        <w:rPr>
          <w:sz w:val="26"/>
          <w:szCs w:val="26"/>
        </w:rPr>
        <w:t>These transfers make up the bulk of the components of the secondary income and are gratuitous transfers to individuals-residents (households) from abroad. Transfers to households are mainly carried out through international money transfer systems.</w:t>
      </w:r>
      <w:r w:rsidR="00F44C0F" w:rsidRPr="00D1550C">
        <w:rPr>
          <w:sz w:val="26"/>
          <w:szCs w:val="26"/>
        </w:rPr>
        <w:t xml:space="preserve"> </w:t>
      </w:r>
      <w:r w:rsidR="00F44C0F" w:rsidRPr="00D1550C">
        <w:rPr>
          <w:color w:val="0070C0"/>
          <w:sz w:val="26"/>
          <w:szCs w:val="26"/>
        </w:rPr>
        <w:t>(</w:t>
      </w:r>
      <w:r w:rsidR="00B23450" w:rsidRPr="00D1550C">
        <w:rPr>
          <w:color w:val="0070C0"/>
          <w:sz w:val="26"/>
          <w:szCs w:val="26"/>
        </w:rPr>
        <w:t>Figure</w:t>
      </w:r>
      <w:r w:rsidR="00F44C0F" w:rsidRPr="00D1550C">
        <w:rPr>
          <w:color w:val="0070C0"/>
          <w:sz w:val="26"/>
          <w:szCs w:val="26"/>
        </w:rPr>
        <w:t xml:space="preserve"> </w:t>
      </w:r>
      <w:r w:rsidR="00415812" w:rsidRPr="00D1550C">
        <w:rPr>
          <w:color w:val="0070C0"/>
          <w:sz w:val="26"/>
          <w:szCs w:val="26"/>
        </w:rPr>
        <w:t>1</w:t>
      </w:r>
      <w:r w:rsidR="00E52D3D" w:rsidRPr="00D1550C">
        <w:rPr>
          <w:color w:val="0070C0"/>
          <w:sz w:val="26"/>
          <w:szCs w:val="26"/>
        </w:rPr>
        <w:t>1</w:t>
      </w:r>
      <w:r w:rsidR="00F44C0F" w:rsidRPr="00D1550C">
        <w:rPr>
          <w:color w:val="0070C0"/>
          <w:sz w:val="26"/>
          <w:szCs w:val="26"/>
        </w:rPr>
        <w:t>)</w:t>
      </w:r>
      <w:r w:rsidR="00F44C0F" w:rsidRPr="00D1550C">
        <w:rPr>
          <w:sz w:val="26"/>
          <w:szCs w:val="26"/>
        </w:rPr>
        <w:t>.</w:t>
      </w:r>
    </w:p>
    <w:p w:rsidR="0013061F" w:rsidRPr="00D1550C" w:rsidRDefault="0013061F" w:rsidP="00B75F3E">
      <w:pPr>
        <w:jc w:val="right"/>
      </w:pPr>
    </w:p>
    <w:p w:rsidR="00B644E0" w:rsidRPr="00D1550C" w:rsidRDefault="00B23450" w:rsidP="00B75F3E">
      <w:pPr>
        <w:jc w:val="right"/>
      </w:pPr>
      <w:r w:rsidRPr="00D1550C">
        <w:t>Figure</w:t>
      </w:r>
      <w:r w:rsidR="00CC154F" w:rsidRPr="00D1550C">
        <w:t xml:space="preserve"> </w:t>
      </w:r>
      <w:r w:rsidR="00415812" w:rsidRPr="00D1550C">
        <w:t>1</w:t>
      </w:r>
      <w:r w:rsidR="00E52D3D" w:rsidRPr="00D1550C">
        <w:t>1</w:t>
      </w:r>
    </w:p>
    <w:p w:rsidR="00B644E0" w:rsidRPr="00D1550C" w:rsidRDefault="00843E41" w:rsidP="00B644E0">
      <w:pPr>
        <w:jc w:val="center"/>
        <w:rPr>
          <w:b/>
          <w:sz w:val="28"/>
          <w:szCs w:val="28"/>
        </w:rPr>
      </w:pPr>
      <w:r w:rsidRPr="00D1550C">
        <w:rPr>
          <w:b/>
          <w:sz w:val="28"/>
          <w:szCs w:val="28"/>
        </w:rPr>
        <w:t>CURRENT TRANSFERS</w:t>
      </w:r>
    </w:p>
    <w:p w:rsidR="00B644E0" w:rsidRPr="00D1550C" w:rsidRDefault="00B644E0" w:rsidP="00B644E0">
      <w:pPr>
        <w:jc w:val="right"/>
        <w:rPr>
          <w:i/>
          <w:sz w:val="20"/>
          <w:szCs w:val="20"/>
        </w:rPr>
      </w:pPr>
      <w:r w:rsidRPr="00D1550C">
        <w:rPr>
          <w:i/>
          <w:sz w:val="20"/>
          <w:szCs w:val="20"/>
        </w:rPr>
        <w:t>(mln. USD)</w:t>
      </w:r>
    </w:p>
    <w:p w:rsidR="00B644E0" w:rsidRPr="00D1550C" w:rsidRDefault="0013061F" w:rsidP="0056599C">
      <w:pPr>
        <w:spacing w:before="120" w:line="288" w:lineRule="auto"/>
        <w:jc w:val="both"/>
        <w:rPr>
          <w:sz w:val="26"/>
          <w:szCs w:val="26"/>
        </w:rPr>
      </w:pPr>
      <w:r w:rsidRPr="00D1550C">
        <w:rPr>
          <w:noProof/>
          <w:lang w:val="ru-RU"/>
        </w:rPr>
        <w:drawing>
          <wp:inline distT="0" distB="0" distL="0" distR="0" wp14:anchorId="3FC91BC6" wp14:editId="24735EF4">
            <wp:extent cx="6299835" cy="4796287"/>
            <wp:effectExtent l="0" t="0" r="5715" b="444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6530" w:rsidRPr="00D1550C" w:rsidRDefault="00076530" w:rsidP="00076530">
      <w:pPr>
        <w:tabs>
          <w:tab w:val="left" w:pos="7875"/>
        </w:tabs>
        <w:spacing w:before="120" w:line="288" w:lineRule="auto"/>
        <w:ind w:firstLine="709"/>
        <w:jc w:val="both"/>
        <w:rPr>
          <w:sz w:val="26"/>
          <w:szCs w:val="26"/>
        </w:rPr>
      </w:pPr>
      <w:r w:rsidRPr="00D1550C">
        <w:rPr>
          <w:sz w:val="26"/>
          <w:szCs w:val="26"/>
        </w:rPr>
        <w:lastRenderedPageBreak/>
        <w:t xml:space="preserve">Receipts of secondary income for this year, as in previous periods, have seasonal character. </w:t>
      </w:r>
      <w:r w:rsidR="0027074B" w:rsidRPr="00D1550C">
        <w:rPr>
          <w:sz w:val="26"/>
          <w:szCs w:val="26"/>
        </w:rPr>
        <w:t>Transfer</w:t>
      </w:r>
      <w:r w:rsidR="0027074B">
        <w:rPr>
          <w:sz w:val="26"/>
          <w:szCs w:val="26"/>
        </w:rPr>
        <w:t xml:space="preserve"> of cross-border cash flows from </w:t>
      </w:r>
      <w:r w:rsidR="00327421" w:rsidRPr="00D1550C">
        <w:rPr>
          <w:sz w:val="26"/>
          <w:szCs w:val="26"/>
        </w:rPr>
        <w:t xml:space="preserve">non-official sector to official sector and </w:t>
      </w:r>
      <w:r w:rsidR="00854EB3" w:rsidRPr="00D1550C">
        <w:rPr>
          <w:sz w:val="26"/>
          <w:szCs w:val="26"/>
        </w:rPr>
        <w:t>increasing amount of workers in abroad significantly</w:t>
      </w:r>
      <w:r w:rsidR="002A4B45" w:rsidRPr="00D1550C">
        <w:rPr>
          <w:sz w:val="26"/>
          <w:szCs w:val="26"/>
        </w:rPr>
        <w:t xml:space="preserve"> increased</w:t>
      </w:r>
      <w:r w:rsidR="00854EB3" w:rsidRPr="00D1550C">
        <w:rPr>
          <w:sz w:val="26"/>
          <w:szCs w:val="26"/>
        </w:rPr>
        <w:t xml:space="preserve"> cross-border remittances in the 1</w:t>
      </w:r>
      <w:r w:rsidR="00854EB3" w:rsidRPr="00D1550C">
        <w:rPr>
          <w:sz w:val="26"/>
          <w:szCs w:val="26"/>
          <w:vertAlign w:val="superscript"/>
        </w:rPr>
        <w:t>st</w:t>
      </w:r>
      <w:r w:rsidR="00854EB3" w:rsidRPr="00D1550C">
        <w:rPr>
          <w:sz w:val="26"/>
          <w:szCs w:val="26"/>
        </w:rPr>
        <w:t xml:space="preserve"> half of 2021. </w:t>
      </w:r>
      <w:r w:rsidR="009B6D29">
        <w:rPr>
          <w:sz w:val="26"/>
          <w:szCs w:val="26"/>
        </w:rPr>
        <w:t>Admittedly</w:t>
      </w:r>
      <w:r w:rsidRPr="00D1550C">
        <w:rPr>
          <w:sz w:val="26"/>
          <w:szCs w:val="26"/>
        </w:rPr>
        <w:t>,</w:t>
      </w:r>
      <w:r w:rsidR="0027074B">
        <w:rPr>
          <w:sz w:val="26"/>
          <w:szCs w:val="26"/>
        </w:rPr>
        <w:t xml:space="preserve"> that </w:t>
      </w:r>
      <w:r w:rsidRPr="00D1550C">
        <w:rPr>
          <w:sz w:val="26"/>
          <w:szCs w:val="26"/>
        </w:rPr>
        <w:t xml:space="preserve">part of the cross-border remittances received by citizens </w:t>
      </w:r>
      <w:r w:rsidR="009B6D29">
        <w:rPr>
          <w:sz w:val="26"/>
          <w:szCs w:val="26"/>
        </w:rPr>
        <w:br/>
      </w:r>
      <w:r w:rsidRPr="00D1550C">
        <w:rPr>
          <w:sz w:val="26"/>
          <w:szCs w:val="26"/>
        </w:rPr>
        <w:t>of Uzbekistan are sent by their relatives permanently residing or living abroad</w:t>
      </w:r>
      <w:r w:rsidRPr="00D1550C">
        <w:rPr>
          <w:color w:val="0070C0"/>
          <w:sz w:val="26"/>
          <w:szCs w:val="26"/>
        </w:rPr>
        <w:t xml:space="preserve"> </w:t>
      </w:r>
      <w:r w:rsidR="0027074B">
        <w:rPr>
          <w:color w:val="0070C0"/>
          <w:sz w:val="26"/>
          <w:szCs w:val="26"/>
        </w:rPr>
        <w:br/>
      </w:r>
      <w:r w:rsidRPr="00D1550C">
        <w:rPr>
          <w:color w:val="0070C0"/>
          <w:sz w:val="26"/>
          <w:szCs w:val="26"/>
        </w:rPr>
        <w:t>(Figure 12)</w:t>
      </w:r>
      <w:r w:rsidRPr="00D1550C">
        <w:rPr>
          <w:sz w:val="26"/>
          <w:szCs w:val="26"/>
        </w:rPr>
        <w:t>.</w:t>
      </w:r>
    </w:p>
    <w:p w:rsidR="00327421" w:rsidRPr="00D1550C" w:rsidRDefault="00327421" w:rsidP="00076530">
      <w:pPr>
        <w:spacing w:before="120" w:line="288" w:lineRule="auto"/>
        <w:ind w:firstLine="709"/>
        <w:jc w:val="both"/>
        <w:rPr>
          <w:sz w:val="26"/>
          <w:szCs w:val="26"/>
        </w:rPr>
      </w:pPr>
      <w:r w:rsidRPr="00D1550C">
        <w:rPr>
          <w:sz w:val="26"/>
          <w:szCs w:val="26"/>
        </w:rPr>
        <w:t xml:space="preserve">It should be noted, </w:t>
      </w:r>
      <w:r w:rsidR="009B6D29">
        <w:rPr>
          <w:sz w:val="26"/>
          <w:szCs w:val="26"/>
        </w:rPr>
        <w:t xml:space="preserve">that </w:t>
      </w:r>
      <w:r w:rsidR="00076530" w:rsidRPr="00D1550C">
        <w:rPr>
          <w:sz w:val="26"/>
          <w:szCs w:val="26"/>
        </w:rPr>
        <w:t>remittances can be used not only by short-term workers to send assistance to their families and non-residents (</w:t>
      </w:r>
      <w:r w:rsidR="00076530" w:rsidRPr="00D1550C">
        <w:rPr>
          <w:i/>
          <w:sz w:val="26"/>
          <w:szCs w:val="26"/>
        </w:rPr>
        <w:t>who include workers that have been abroad for more than 1 year</w:t>
      </w:r>
      <w:r w:rsidR="00076530" w:rsidRPr="00D1550C">
        <w:rPr>
          <w:sz w:val="26"/>
          <w:szCs w:val="26"/>
        </w:rPr>
        <w:t>) to send personal transfers to residents, but also can be used for the purpose of making settlemen</w:t>
      </w:r>
      <w:r w:rsidR="009B6D29">
        <w:rPr>
          <w:sz w:val="26"/>
          <w:szCs w:val="26"/>
        </w:rPr>
        <w:t>ts on foreign trade operations.</w:t>
      </w:r>
    </w:p>
    <w:p w:rsidR="00076530" w:rsidRPr="00D1550C" w:rsidRDefault="00076530" w:rsidP="00076530">
      <w:pPr>
        <w:spacing w:before="120" w:line="288" w:lineRule="auto"/>
        <w:ind w:firstLine="709"/>
        <w:jc w:val="both"/>
        <w:rPr>
          <w:sz w:val="26"/>
          <w:szCs w:val="26"/>
        </w:rPr>
      </w:pPr>
      <w:r w:rsidRPr="00D1550C">
        <w:rPr>
          <w:sz w:val="26"/>
          <w:szCs w:val="26"/>
        </w:rPr>
        <w:t xml:space="preserve">At the same time, the restriction </w:t>
      </w:r>
      <w:r w:rsidR="009B6D29">
        <w:rPr>
          <w:sz w:val="26"/>
          <w:szCs w:val="26"/>
        </w:rPr>
        <w:t>on</w:t>
      </w:r>
      <w:r w:rsidRPr="00D1550C">
        <w:rPr>
          <w:sz w:val="26"/>
          <w:szCs w:val="26"/>
        </w:rPr>
        <w:t xml:space="preserve"> movement of individuals across the border caused the reduction in currency cash flows. This could have served as the main reason for </w:t>
      </w:r>
      <w:r w:rsidR="009B6D29">
        <w:rPr>
          <w:sz w:val="26"/>
          <w:szCs w:val="26"/>
        </w:rPr>
        <w:t xml:space="preserve">migration of </w:t>
      </w:r>
      <w:r w:rsidRPr="00D1550C">
        <w:rPr>
          <w:sz w:val="26"/>
          <w:szCs w:val="26"/>
        </w:rPr>
        <w:t xml:space="preserve">cash foreign currency </w:t>
      </w:r>
      <w:r w:rsidR="009B6D29">
        <w:rPr>
          <w:sz w:val="26"/>
          <w:szCs w:val="26"/>
        </w:rPr>
        <w:t>transfers to</w:t>
      </w:r>
      <w:r w:rsidRPr="00D1550C">
        <w:rPr>
          <w:sz w:val="26"/>
          <w:szCs w:val="26"/>
        </w:rPr>
        <w:t xml:space="preserve"> cross-border money transfers systems.</w:t>
      </w:r>
    </w:p>
    <w:p w:rsidR="00B75F3E" w:rsidRPr="00D1550C" w:rsidRDefault="00B75F3E" w:rsidP="00916B82">
      <w:pPr>
        <w:jc w:val="right"/>
      </w:pPr>
    </w:p>
    <w:p w:rsidR="00916B82" w:rsidRPr="00D1550C" w:rsidRDefault="00B23450" w:rsidP="00B75F3E">
      <w:pPr>
        <w:jc w:val="right"/>
      </w:pPr>
      <w:r w:rsidRPr="00D1550C">
        <w:t>Figure</w:t>
      </w:r>
      <w:r w:rsidR="00CC154F" w:rsidRPr="00D1550C">
        <w:t xml:space="preserve"> 1</w:t>
      </w:r>
      <w:r w:rsidR="007E2B29" w:rsidRPr="00D1550C">
        <w:t>2</w:t>
      </w:r>
    </w:p>
    <w:p w:rsidR="00916B82" w:rsidRPr="00D1550C" w:rsidRDefault="00843E41" w:rsidP="00916B82">
      <w:pPr>
        <w:jc w:val="center"/>
        <w:rPr>
          <w:b/>
          <w:sz w:val="28"/>
          <w:szCs w:val="28"/>
        </w:rPr>
      </w:pPr>
      <w:r w:rsidRPr="00D1550C">
        <w:rPr>
          <w:b/>
          <w:sz w:val="28"/>
          <w:szCs w:val="28"/>
        </w:rPr>
        <w:t>MAIN SOURCES OF RECEIPTS OF INDIVIDUALS</w:t>
      </w:r>
    </w:p>
    <w:p w:rsidR="00916B82" w:rsidRPr="00D1550C" w:rsidRDefault="00916B82" w:rsidP="001D337D">
      <w:pPr>
        <w:spacing w:before="100" w:beforeAutospacing="1" w:line="120" w:lineRule="auto"/>
        <w:jc w:val="right"/>
        <w:rPr>
          <w:i/>
          <w:sz w:val="20"/>
          <w:szCs w:val="20"/>
        </w:rPr>
      </w:pPr>
      <w:r w:rsidRPr="00D1550C">
        <w:rPr>
          <w:i/>
          <w:sz w:val="20"/>
          <w:szCs w:val="20"/>
        </w:rPr>
        <w:t>(mln. USD)</w:t>
      </w:r>
    </w:p>
    <w:p w:rsidR="00402F2B" w:rsidRPr="00D1550C" w:rsidRDefault="000E7553" w:rsidP="001D337D">
      <w:pPr>
        <w:spacing w:before="100" w:beforeAutospacing="1" w:line="120" w:lineRule="auto"/>
        <w:jc w:val="both"/>
        <w:rPr>
          <w:sz w:val="26"/>
          <w:szCs w:val="26"/>
        </w:rPr>
      </w:pPr>
      <w:r w:rsidRPr="00D1550C">
        <w:rPr>
          <w:noProof/>
          <w:lang w:val="ru-RU"/>
        </w:rPr>
        <w:drawing>
          <wp:inline distT="0" distB="0" distL="0" distR="0" wp14:anchorId="306DEECB" wp14:editId="046EAA0E">
            <wp:extent cx="6394450" cy="3994030"/>
            <wp:effectExtent l="0" t="0" r="6350" b="698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16ED" w:rsidRPr="00D1550C" w:rsidRDefault="00B416ED" w:rsidP="00790EBE">
      <w:pPr>
        <w:pStyle w:val="1"/>
        <w:spacing w:before="360" w:after="240"/>
        <w:ind w:left="0" w:firstLine="709"/>
        <w:rPr>
          <w:rFonts w:ascii="Calibri" w:hAnsi="Calibri"/>
          <w:szCs w:val="28"/>
          <w:lang w:val="en-US"/>
        </w:rPr>
      </w:pPr>
      <w:r w:rsidRPr="00D1550C">
        <w:rPr>
          <w:rFonts w:ascii="Calibri" w:hAnsi="Calibri"/>
          <w:szCs w:val="28"/>
          <w:lang w:val="en-US"/>
        </w:rPr>
        <w:br w:type="page"/>
      </w:r>
    </w:p>
    <w:p w:rsidR="00574EFA" w:rsidRPr="00D1550C" w:rsidRDefault="00323519" w:rsidP="00790EBE">
      <w:pPr>
        <w:pStyle w:val="1"/>
        <w:spacing w:before="360" w:after="240"/>
        <w:ind w:left="0" w:firstLine="709"/>
        <w:rPr>
          <w:rFonts w:ascii="Calibri" w:hAnsi="Calibri"/>
          <w:szCs w:val="28"/>
          <w:lang w:val="en-US"/>
        </w:rPr>
      </w:pPr>
      <w:bookmarkStart w:id="8" w:name="_Toc83291118"/>
      <w:r w:rsidRPr="00D1550C">
        <w:rPr>
          <w:rFonts w:ascii="Calibri" w:hAnsi="Calibri"/>
          <w:szCs w:val="28"/>
          <w:lang w:val="en-US"/>
        </w:rPr>
        <w:lastRenderedPageBreak/>
        <w:t>CAPITAL ACCOUNT</w:t>
      </w:r>
      <w:bookmarkEnd w:id="8"/>
    </w:p>
    <w:p w:rsidR="00D46DBE" w:rsidRPr="00D1550C" w:rsidRDefault="00D46DBE" w:rsidP="00D46DBE">
      <w:pPr>
        <w:tabs>
          <w:tab w:val="left" w:pos="1560"/>
        </w:tabs>
        <w:spacing w:before="120" w:line="288" w:lineRule="auto"/>
        <w:ind w:firstLine="709"/>
        <w:jc w:val="both"/>
        <w:rPr>
          <w:sz w:val="26"/>
          <w:szCs w:val="26"/>
        </w:rPr>
      </w:pPr>
      <w:r w:rsidRPr="00D1550C">
        <w:rPr>
          <w:sz w:val="26"/>
          <w:szCs w:val="26"/>
        </w:rPr>
        <w:t xml:space="preserve">For </w:t>
      </w:r>
      <w:r w:rsidR="008E2D6C" w:rsidRPr="00D1550C">
        <w:rPr>
          <w:sz w:val="26"/>
          <w:szCs w:val="26"/>
        </w:rPr>
        <w:t>the 1</w:t>
      </w:r>
      <w:r w:rsidR="008E2D6C" w:rsidRPr="00D1550C">
        <w:rPr>
          <w:sz w:val="26"/>
          <w:szCs w:val="26"/>
          <w:vertAlign w:val="superscript"/>
        </w:rPr>
        <w:t>st</w:t>
      </w:r>
      <w:r w:rsidR="008E2D6C" w:rsidRPr="00D1550C">
        <w:rPr>
          <w:sz w:val="26"/>
          <w:szCs w:val="26"/>
        </w:rPr>
        <w:t xml:space="preserve"> </w:t>
      </w:r>
      <w:r w:rsidRPr="00D1550C">
        <w:rPr>
          <w:sz w:val="26"/>
          <w:szCs w:val="26"/>
        </w:rPr>
        <w:t xml:space="preserve">half of 2021 no transactions were carried out (USD 15 million for </w:t>
      </w:r>
      <w:r w:rsidR="00601F57" w:rsidRPr="00D1550C">
        <w:rPr>
          <w:sz w:val="26"/>
          <w:szCs w:val="26"/>
        </w:rPr>
        <w:t xml:space="preserve">the </w:t>
      </w:r>
      <w:r w:rsidRPr="00D1550C">
        <w:rPr>
          <w:sz w:val="26"/>
          <w:szCs w:val="26"/>
        </w:rPr>
        <w:t xml:space="preserve">I half of 2020) </w:t>
      </w:r>
      <w:r w:rsidRPr="00D1550C">
        <w:rPr>
          <w:color w:val="0070C0"/>
          <w:sz w:val="26"/>
          <w:szCs w:val="26"/>
        </w:rPr>
        <w:t>(Figure 13)</w:t>
      </w:r>
      <w:r w:rsidRPr="00D1550C">
        <w:rPr>
          <w:sz w:val="26"/>
          <w:szCs w:val="26"/>
        </w:rPr>
        <w:t>.</w:t>
      </w:r>
    </w:p>
    <w:p w:rsidR="00C2572B" w:rsidRPr="00D1550C" w:rsidRDefault="00C2572B" w:rsidP="00C2572B">
      <w:pPr>
        <w:jc w:val="right"/>
      </w:pPr>
      <w:r w:rsidRPr="00D1550C">
        <w:t>Figure 1</w:t>
      </w:r>
      <w:r w:rsidR="00804478" w:rsidRPr="00D1550C">
        <w:t>3</w:t>
      </w:r>
    </w:p>
    <w:p w:rsidR="00C2572B" w:rsidRPr="00D1550C" w:rsidRDefault="00C2572B" w:rsidP="00C2572B">
      <w:pPr>
        <w:jc w:val="center"/>
        <w:rPr>
          <w:b/>
          <w:sz w:val="28"/>
          <w:szCs w:val="28"/>
        </w:rPr>
      </w:pPr>
      <w:r w:rsidRPr="00D1550C">
        <w:rPr>
          <w:b/>
          <w:sz w:val="28"/>
          <w:szCs w:val="28"/>
        </w:rPr>
        <w:t>CAPITAL ACCOUNT RECEIPTS</w:t>
      </w:r>
    </w:p>
    <w:p w:rsidR="00C2572B" w:rsidRPr="00D1550C" w:rsidRDefault="00C2572B" w:rsidP="00C2572B">
      <w:pPr>
        <w:spacing w:before="100" w:beforeAutospacing="1" w:line="120" w:lineRule="auto"/>
        <w:jc w:val="right"/>
      </w:pPr>
      <w:r w:rsidRPr="00D1550C">
        <w:rPr>
          <w:i/>
          <w:sz w:val="20"/>
          <w:szCs w:val="20"/>
        </w:rPr>
        <w:t>(mln. USD)</w:t>
      </w:r>
      <w:r w:rsidR="00AD4257" w:rsidRPr="00D1550C">
        <w:t xml:space="preserve"> </w:t>
      </w:r>
    </w:p>
    <w:p w:rsidR="00C92924" w:rsidRPr="00D1550C" w:rsidRDefault="000E5D78" w:rsidP="007E2B29">
      <w:pPr>
        <w:spacing w:before="100" w:beforeAutospacing="1" w:line="120" w:lineRule="auto"/>
        <w:jc w:val="right"/>
        <w:rPr>
          <w:sz w:val="26"/>
          <w:szCs w:val="26"/>
        </w:rPr>
        <w:sectPr w:rsidR="00C92924" w:rsidRPr="00D1550C" w:rsidSect="004C03E7">
          <w:pgSz w:w="11906" w:h="16838" w:code="9"/>
          <w:pgMar w:top="1134" w:right="851" w:bottom="851" w:left="1134" w:header="709" w:footer="35" w:gutter="0"/>
          <w:cols w:space="708"/>
          <w:titlePg/>
          <w:docGrid w:linePitch="360"/>
        </w:sectPr>
      </w:pPr>
      <w:r w:rsidRPr="00D1550C">
        <w:rPr>
          <w:noProof/>
          <w:lang w:val="ru-RU"/>
        </w:rPr>
        <w:drawing>
          <wp:inline distT="0" distB="0" distL="0" distR="0" wp14:anchorId="06097427" wp14:editId="7A177A81">
            <wp:extent cx="6392174" cy="3315970"/>
            <wp:effectExtent l="0" t="0" r="8890" b="1778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F7BEC" w:rsidRPr="00D1550C">
        <w:rPr>
          <w:sz w:val="26"/>
          <w:szCs w:val="26"/>
        </w:rPr>
        <w:t xml:space="preserve"> </w:t>
      </w:r>
    </w:p>
    <w:p w:rsidR="004973BC" w:rsidRPr="00D1550C" w:rsidRDefault="009474DF" w:rsidP="00B447CB">
      <w:pPr>
        <w:pStyle w:val="1"/>
        <w:spacing w:before="0"/>
        <w:ind w:left="709"/>
        <w:rPr>
          <w:rFonts w:ascii="Calibri" w:hAnsi="Calibri" w:cs="Calibri"/>
          <w:lang w:val="en-US"/>
        </w:rPr>
      </w:pPr>
      <w:bookmarkStart w:id="9" w:name="_Toc83291119"/>
      <w:r w:rsidRPr="00D1550C">
        <w:rPr>
          <w:rFonts w:ascii="Calibri" w:hAnsi="Calibri" w:cs="Calibri"/>
          <w:lang w:val="en-US"/>
        </w:rPr>
        <w:lastRenderedPageBreak/>
        <w:t>FINANCIAL ACCOUNT</w:t>
      </w:r>
      <w:bookmarkEnd w:id="9"/>
    </w:p>
    <w:p w:rsidR="00F44C0F" w:rsidRPr="00D1550C" w:rsidRDefault="00401764" w:rsidP="001C10C8">
      <w:pPr>
        <w:spacing w:before="120" w:line="288" w:lineRule="auto"/>
        <w:ind w:firstLine="709"/>
        <w:jc w:val="both"/>
        <w:rPr>
          <w:sz w:val="26"/>
          <w:szCs w:val="26"/>
        </w:rPr>
      </w:pPr>
      <w:r w:rsidRPr="00D1550C">
        <w:rPr>
          <w:sz w:val="26"/>
          <w:szCs w:val="26"/>
        </w:rPr>
        <w:t>According to the results for</w:t>
      </w:r>
      <w:r w:rsidR="00937E8C" w:rsidRPr="00D1550C">
        <w:rPr>
          <w:sz w:val="26"/>
          <w:szCs w:val="26"/>
        </w:rPr>
        <w:t xml:space="preserve"> the</w:t>
      </w:r>
      <w:r w:rsidRPr="00D1550C">
        <w:rPr>
          <w:sz w:val="26"/>
          <w:szCs w:val="26"/>
        </w:rPr>
        <w:t xml:space="preserve"> 1</w:t>
      </w:r>
      <w:r w:rsidRPr="00D1550C">
        <w:rPr>
          <w:sz w:val="26"/>
          <w:szCs w:val="26"/>
          <w:vertAlign w:val="superscript"/>
        </w:rPr>
        <w:t>st</w:t>
      </w:r>
      <w:r w:rsidR="005B03D5" w:rsidRPr="00D1550C">
        <w:rPr>
          <w:sz w:val="26"/>
          <w:szCs w:val="26"/>
        </w:rPr>
        <w:t xml:space="preserve"> half</w:t>
      </w:r>
      <w:r w:rsidRPr="00D1550C">
        <w:rPr>
          <w:sz w:val="26"/>
          <w:szCs w:val="26"/>
        </w:rPr>
        <w:t xml:space="preserve"> of 2021, the negative balance of the financial account </w:t>
      </w:r>
      <w:r w:rsidR="005B03D5" w:rsidRPr="00D1550C">
        <w:rPr>
          <w:sz w:val="26"/>
          <w:szCs w:val="26"/>
        </w:rPr>
        <w:t>increased by 13</w:t>
      </w:r>
      <w:r w:rsidRPr="00D1550C">
        <w:rPr>
          <w:sz w:val="26"/>
          <w:szCs w:val="26"/>
        </w:rPr>
        <w:t>%</w:t>
      </w:r>
      <w:r w:rsidR="00937E8C" w:rsidRPr="00D1550C">
        <w:rPr>
          <w:sz w:val="26"/>
          <w:szCs w:val="26"/>
        </w:rPr>
        <w:t xml:space="preserve"> or USD 403.3 million</w:t>
      </w:r>
      <w:r w:rsidRPr="00D1550C">
        <w:rPr>
          <w:sz w:val="26"/>
          <w:szCs w:val="26"/>
        </w:rPr>
        <w:t xml:space="preserve"> </w:t>
      </w:r>
      <w:r w:rsidR="00730F0F" w:rsidRPr="00D1550C">
        <w:rPr>
          <w:sz w:val="26"/>
          <w:szCs w:val="26"/>
        </w:rPr>
        <w:t xml:space="preserve">and amounted to USD 3.6 billion </w:t>
      </w:r>
      <w:r w:rsidR="005B03D5" w:rsidRPr="00D1550C">
        <w:rPr>
          <w:sz w:val="26"/>
          <w:szCs w:val="26"/>
        </w:rPr>
        <w:t>(USD 3.2</w:t>
      </w:r>
      <w:r w:rsidRPr="00D1550C">
        <w:rPr>
          <w:sz w:val="26"/>
          <w:szCs w:val="26"/>
        </w:rPr>
        <w:t xml:space="preserve"> billion a year earlier). </w:t>
      </w:r>
      <w:r w:rsidR="008001B5" w:rsidRPr="00D1550C">
        <w:rPr>
          <w:sz w:val="26"/>
          <w:szCs w:val="26"/>
        </w:rPr>
        <w:t xml:space="preserve">Growth of </w:t>
      </w:r>
      <w:r w:rsidR="009B6D29">
        <w:rPr>
          <w:sz w:val="26"/>
          <w:szCs w:val="26"/>
        </w:rPr>
        <w:t>deficit</w:t>
      </w:r>
      <w:r w:rsidR="008001B5" w:rsidRPr="00D1550C">
        <w:rPr>
          <w:sz w:val="26"/>
          <w:szCs w:val="26"/>
        </w:rPr>
        <w:t xml:space="preserve"> is due to decrease in the “currency and deposit” component of reserve assets by USD 781,7 million </w:t>
      </w:r>
      <w:r w:rsidR="001C10C8" w:rsidRPr="00D1550C">
        <w:rPr>
          <w:sz w:val="26"/>
          <w:szCs w:val="26"/>
        </w:rPr>
        <w:t xml:space="preserve">and </w:t>
      </w:r>
      <w:r w:rsidR="008001B5" w:rsidRPr="00D1550C">
        <w:rPr>
          <w:sz w:val="26"/>
          <w:szCs w:val="26"/>
        </w:rPr>
        <w:t xml:space="preserve">growth </w:t>
      </w:r>
      <w:r w:rsidR="009B6D29">
        <w:rPr>
          <w:sz w:val="26"/>
          <w:szCs w:val="26"/>
        </w:rPr>
        <w:t xml:space="preserve">of </w:t>
      </w:r>
      <w:r w:rsidR="008001B5" w:rsidRPr="00D1550C">
        <w:rPr>
          <w:sz w:val="26"/>
          <w:szCs w:val="26"/>
        </w:rPr>
        <w:t xml:space="preserve">financial </w:t>
      </w:r>
      <w:r w:rsidRPr="00D1550C">
        <w:rPr>
          <w:sz w:val="26"/>
          <w:szCs w:val="26"/>
        </w:rPr>
        <w:t xml:space="preserve">liabilities </w:t>
      </w:r>
      <w:r w:rsidR="009B6D29">
        <w:rPr>
          <w:sz w:val="26"/>
          <w:szCs w:val="26"/>
        </w:rPr>
        <w:t>in</w:t>
      </w:r>
      <w:r w:rsidRPr="00D1550C">
        <w:rPr>
          <w:sz w:val="26"/>
          <w:szCs w:val="26"/>
        </w:rPr>
        <w:t xml:space="preserve"> </w:t>
      </w:r>
      <w:r w:rsidR="008001B5" w:rsidRPr="00D1550C">
        <w:rPr>
          <w:sz w:val="26"/>
          <w:szCs w:val="26"/>
        </w:rPr>
        <w:t>“</w:t>
      </w:r>
      <w:r w:rsidRPr="00D1550C">
        <w:rPr>
          <w:sz w:val="26"/>
          <w:szCs w:val="26"/>
        </w:rPr>
        <w:t>loans and credits</w:t>
      </w:r>
      <w:r w:rsidR="003B2D34" w:rsidRPr="00D1550C">
        <w:rPr>
          <w:sz w:val="26"/>
          <w:szCs w:val="26"/>
        </w:rPr>
        <w:t>”</w:t>
      </w:r>
      <w:r w:rsidRPr="00D1550C">
        <w:rPr>
          <w:sz w:val="26"/>
          <w:szCs w:val="26"/>
        </w:rPr>
        <w:t xml:space="preserve"> by USD </w:t>
      </w:r>
      <w:r w:rsidR="001C10C8" w:rsidRPr="00D1550C">
        <w:rPr>
          <w:sz w:val="26"/>
          <w:szCs w:val="26"/>
        </w:rPr>
        <w:t>1</w:t>
      </w:r>
      <w:r w:rsidR="0079426D" w:rsidRPr="00D1550C">
        <w:rPr>
          <w:sz w:val="26"/>
          <w:szCs w:val="26"/>
        </w:rPr>
        <w:t>.</w:t>
      </w:r>
      <w:r w:rsidR="001C10C8" w:rsidRPr="00D1550C">
        <w:rPr>
          <w:sz w:val="26"/>
          <w:szCs w:val="26"/>
        </w:rPr>
        <w:t>8 b</w:t>
      </w:r>
      <w:r w:rsidRPr="00D1550C">
        <w:rPr>
          <w:sz w:val="26"/>
          <w:szCs w:val="26"/>
        </w:rPr>
        <w:t>illion</w:t>
      </w:r>
      <w:r w:rsidR="00085ACB" w:rsidRPr="00D1550C">
        <w:rPr>
          <w:sz w:val="26"/>
          <w:szCs w:val="26"/>
        </w:rPr>
        <w:t xml:space="preserve">, </w:t>
      </w:r>
      <w:r w:rsidR="008001B5" w:rsidRPr="00D1550C">
        <w:rPr>
          <w:sz w:val="26"/>
          <w:szCs w:val="26"/>
        </w:rPr>
        <w:t>“</w:t>
      </w:r>
      <w:r w:rsidR="008D65F3" w:rsidRPr="00D1550C">
        <w:rPr>
          <w:sz w:val="26"/>
          <w:szCs w:val="26"/>
        </w:rPr>
        <w:t>direct investment</w:t>
      </w:r>
      <w:r w:rsidR="008001B5" w:rsidRPr="00D1550C">
        <w:rPr>
          <w:sz w:val="26"/>
          <w:szCs w:val="26"/>
        </w:rPr>
        <w:t>”</w:t>
      </w:r>
      <w:r w:rsidR="008D65F3" w:rsidRPr="00D1550C">
        <w:rPr>
          <w:sz w:val="26"/>
          <w:szCs w:val="26"/>
        </w:rPr>
        <w:t xml:space="preserve"> </w:t>
      </w:r>
      <w:r w:rsidR="009B6D29">
        <w:rPr>
          <w:sz w:val="26"/>
          <w:szCs w:val="26"/>
        </w:rPr>
        <w:br/>
      </w:r>
      <w:r w:rsidR="008D65F3" w:rsidRPr="00D1550C">
        <w:rPr>
          <w:sz w:val="26"/>
          <w:szCs w:val="26"/>
        </w:rPr>
        <w:t>by USD 1</w:t>
      </w:r>
      <w:r w:rsidR="0079426D" w:rsidRPr="00D1550C">
        <w:rPr>
          <w:sz w:val="26"/>
          <w:szCs w:val="26"/>
        </w:rPr>
        <w:t>.</w:t>
      </w:r>
      <w:r w:rsidR="008D65F3" w:rsidRPr="00D1550C">
        <w:rPr>
          <w:sz w:val="26"/>
          <w:szCs w:val="26"/>
        </w:rPr>
        <w:t xml:space="preserve">1 billion and </w:t>
      </w:r>
      <w:r w:rsidR="003B2D34" w:rsidRPr="00D1550C">
        <w:rPr>
          <w:sz w:val="26"/>
          <w:szCs w:val="26"/>
        </w:rPr>
        <w:t>“</w:t>
      </w:r>
      <w:r w:rsidR="008D65F3" w:rsidRPr="00D1550C">
        <w:rPr>
          <w:sz w:val="26"/>
          <w:szCs w:val="26"/>
        </w:rPr>
        <w:t>portfolio investment</w:t>
      </w:r>
      <w:r w:rsidR="003B2D34" w:rsidRPr="00D1550C">
        <w:rPr>
          <w:sz w:val="26"/>
          <w:szCs w:val="26"/>
        </w:rPr>
        <w:t>”</w:t>
      </w:r>
      <w:r w:rsidR="00491EA6" w:rsidRPr="00D1550C">
        <w:rPr>
          <w:sz w:val="26"/>
          <w:szCs w:val="26"/>
        </w:rPr>
        <w:t xml:space="preserve"> in the amount of USD 384.5 million.</w:t>
      </w:r>
      <w:r w:rsidR="00A90488" w:rsidRPr="00D1550C">
        <w:rPr>
          <w:sz w:val="26"/>
          <w:szCs w:val="26"/>
        </w:rPr>
        <w:t xml:space="preserve"> </w:t>
      </w:r>
      <w:r w:rsidR="005906C1" w:rsidRPr="00D1550C">
        <w:rPr>
          <w:color w:val="0070C0"/>
          <w:sz w:val="26"/>
          <w:szCs w:val="26"/>
        </w:rPr>
        <w:t xml:space="preserve">(Table </w:t>
      </w:r>
      <w:r w:rsidR="00804478" w:rsidRPr="00D1550C">
        <w:rPr>
          <w:color w:val="0070C0"/>
          <w:sz w:val="26"/>
          <w:szCs w:val="26"/>
        </w:rPr>
        <w:t>2</w:t>
      </w:r>
      <w:r w:rsidR="005906C1" w:rsidRPr="00D1550C">
        <w:rPr>
          <w:color w:val="0070C0"/>
          <w:sz w:val="26"/>
          <w:szCs w:val="26"/>
        </w:rPr>
        <w:t>)</w:t>
      </w:r>
      <w:r w:rsidR="005906C1" w:rsidRPr="00D1550C">
        <w:rPr>
          <w:sz w:val="26"/>
          <w:szCs w:val="26"/>
        </w:rPr>
        <w:t>.</w:t>
      </w:r>
    </w:p>
    <w:p w:rsidR="00B01041" w:rsidRPr="00D1550C" w:rsidRDefault="00B01041" w:rsidP="00B01041">
      <w:pPr>
        <w:jc w:val="right"/>
        <w:rPr>
          <w:rFonts w:cs="Calibri"/>
        </w:rPr>
      </w:pPr>
      <w:r w:rsidRPr="00D1550C">
        <w:rPr>
          <w:rFonts w:cs="Calibri"/>
        </w:rPr>
        <w:t xml:space="preserve">Table </w:t>
      </w:r>
      <w:r w:rsidR="00804478" w:rsidRPr="00D1550C">
        <w:rPr>
          <w:rFonts w:cs="Calibri"/>
        </w:rPr>
        <w:t>2</w:t>
      </w:r>
    </w:p>
    <w:p w:rsidR="00D6442D" w:rsidRPr="00D1550C" w:rsidRDefault="00D6442D" w:rsidP="00D6442D">
      <w:pPr>
        <w:spacing w:line="276" w:lineRule="auto"/>
        <w:jc w:val="center"/>
        <w:rPr>
          <w:rFonts w:cs="Calibri"/>
          <w:b/>
          <w:sz w:val="28"/>
          <w:szCs w:val="28"/>
        </w:rPr>
      </w:pPr>
      <w:r w:rsidRPr="00D1550C">
        <w:rPr>
          <w:rFonts w:cs="Calibri"/>
          <w:b/>
          <w:sz w:val="28"/>
          <w:szCs w:val="28"/>
        </w:rPr>
        <w:t>STRUCTURE OF CURRENT RECEIPTS AND CURRENT EXPENSES</w:t>
      </w:r>
    </w:p>
    <w:p w:rsidR="00D6442D" w:rsidRPr="00D1550C" w:rsidRDefault="00D6442D" w:rsidP="00D6442D">
      <w:pPr>
        <w:spacing w:line="276" w:lineRule="auto"/>
        <w:jc w:val="right"/>
        <w:rPr>
          <w:rFonts w:cs="Calibri"/>
          <w:i/>
          <w:sz w:val="20"/>
          <w:szCs w:val="20"/>
        </w:rPr>
      </w:pPr>
      <w:r w:rsidRPr="00D1550C">
        <w:rPr>
          <w:i/>
        </w:rPr>
        <w:t xml:space="preserve"> </w:t>
      </w:r>
      <w:r w:rsidRPr="00D1550C">
        <w:rPr>
          <w:rFonts w:cs="Calibri"/>
          <w:i/>
          <w:sz w:val="20"/>
          <w:szCs w:val="20"/>
        </w:rPr>
        <w:t>(mln. USD)</w:t>
      </w:r>
    </w:p>
    <w:tbl>
      <w:tblPr>
        <w:tblW w:w="14891" w:type="dxa"/>
        <w:tblInd w:w="137" w:type="dxa"/>
        <w:tblLook w:val="04A0" w:firstRow="1" w:lastRow="0" w:firstColumn="1" w:lastColumn="0" w:noHBand="0" w:noVBand="1"/>
      </w:tblPr>
      <w:tblGrid>
        <w:gridCol w:w="2835"/>
        <w:gridCol w:w="987"/>
        <w:gridCol w:w="851"/>
        <w:gridCol w:w="850"/>
        <w:gridCol w:w="851"/>
        <w:gridCol w:w="850"/>
        <w:gridCol w:w="998"/>
        <w:gridCol w:w="998"/>
        <w:gridCol w:w="998"/>
        <w:gridCol w:w="996"/>
        <w:gridCol w:w="995"/>
        <w:gridCol w:w="980"/>
        <w:gridCol w:w="845"/>
        <w:gridCol w:w="845"/>
        <w:gridCol w:w="12"/>
      </w:tblGrid>
      <w:tr w:rsidR="00045917" w:rsidRPr="00D1550C" w:rsidTr="00045917">
        <w:trPr>
          <w:gridAfter w:val="1"/>
          <w:wAfter w:w="12" w:type="dxa"/>
          <w:trHeight w:val="283"/>
        </w:trPr>
        <w:tc>
          <w:tcPr>
            <w:tcW w:w="2835" w:type="dxa"/>
            <w:vMerge w:val="restart"/>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3B78E9">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 </w:t>
            </w:r>
          </w:p>
        </w:tc>
        <w:tc>
          <w:tcPr>
            <w:tcW w:w="987" w:type="dxa"/>
            <w:vMerge w:val="restart"/>
            <w:tcBorders>
              <w:top w:val="single" w:sz="4" w:space="0" w:color="5B9BD5" w:themeColor="accent1"/>
              <w:left w:val="single" w:sz="4" w:space="0" w:color="5B9BD5" w:themeColor="accent1"/>
              <w:right w:val="single" w:sz="4" w:space="0" w:color="5B9BD5" w:themeColor="accent1"/>
            </w:tcBorders>
            <w:vAlign w:val="center"/>
          </w:tcPr>
          <w:p w:rsidR="00045917" w:rsidRPr="00D1550C" w:rsidRDefault="00045917" w:rsidP="005D2468">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2019</w:t>
            </w:r>
          </w:p>
        </w:tc>
        <w:tc>
          <w:tcPr>
            <w:tcW w:w="3402" w:type="dxa"/>
            <w:gridSpan w:val="4"/>
            <w:tcBorders>
              <w:top w:val="single" w:sz="4" w:space="0" w:color="5B9BD5"/>
              <w:left w:val="single" w:sz="4" w:space="0" w:color="5B9BD5" w:themeColor="accent1"/>
              <w:bottom w:val="single" w:sz="4" w:space="0" w:color="5B9BD5"/>
              <w:right w:val="single" w:sz="4" w:space="0" w:color="5B9BD5"/>
            </w:tcBorders>
            <w:shd w:val="clear" w:color="auto" w:fill="auto"/>
            <w:noWrap/>
            <w:vAlign w:val="center"/>
            <w:hideMark/>
          </w:tcPr>
          <w:p w:rsidR="00045917" w:rsidRPr="00D1550C" w:rsidRDefault="00045917" w:rsidP="003B78E9">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2019</w:t>
            </w:r>
          </w:p>
        </w:tc>
        <w:tc>
          <w:tcPr>
            <w:tcW w:w="998" w:type="dxa"/>
            <w:vMerge w:val="restart"/>
            <w:tcBorders>
              <w:top w:val="single" w:sz="4" w:space="0" w:color="5B9BD5"/>
              <w:left w:val="nil"/>
              <w:right w:val="single" w:sz="4" w:space="0" w:color="5B9BD5" w:themeColor="accent1"/>
            </w:tcBorders>
            <w:shd w:val="clear" w:color="auto" w:fill="auto"/>
            <w:vAlign w:val="center"/>
          </w:tcPr>
          <w:p w:rsidR="00045917" w:rsidRPr="00D1550C" w:rsidRDefault="00045917" w:rsidP="003B78E9">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2020</w:t>
            </w:r>
          </w:p>
        </w:tc>
        <w:tc>
          <w:tcPr>
            <w:tcW w:w="3987" w:type="dxa"/>
            <w:gridSpan w:val="4"/>
            <w:tcBorders>
              <w:top w:val="single" w:sz="4" w:space="0" w:color="5B9BD5" w:themeColor="accent1"/>
              <w:left w:val="single" w:sz="4" w:space="0" w:color="5B9BD5" w:themeColor="accent1"/>
              <w:bottom w:val="single" w:sz="4" w:space="0" w:color="5B9BD5" w:themeColor="accent1"/>
              <w:right w:val="single" w:sz="4" w:space="0" w:color="5B9BD5"/>
            </w:tcBorders>
            <w:shd w:val="clear" w:color="auto" w:fill="auto"/>
            <w:vAlign w:val="center"/>
            <w:hideMark/>
          </w:tcPr>
          <w:p w:rsidR="00045917" w:rsidRPr="00D1550C" w:rsidRDefault="00045917" w:rsidP="003B78E9">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2020</w:t>
            </w:r>
          </w:p>
        </w:tc>
        <w:tc>
          <w:tcPr>
            <w:tcW w:w="980" w:type="dxa"/>
            <w:vMerge w:val="restart"/>
            <w:tcBorders>
              <w:top w:val="single" w:sz="4" w:space="0" w:color="5B9BD5"/>
              <w:left w:val="nil"/>
              <w:right w:val="single" w:sz="4" w:space="0" w:color="5B9BD5"/>
            </w:tcBorders>
            <w:shd w:val="clear" w:color="auto" w:fill="auto"/>
            <w:vAlign w:val="center"/>
          </w:tcPr>
          <w:p w:rsidR="00045917" w:rsidRPr="00D1550C" w:rsidRDefault="00045917" w:rsidP="003B78E9">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2021</w:t>
            </w:r>
          </w:p>
        </w:tc>
        <w:tc>
          <w:tcPr>
            <w:tcW w:w="1690" w:type="dxa"/>
            <w:gridSpan w:val="2"/>
            <w:tcBorders>
              <w:top w:val="single" w:sz="4" w:space="0" w:color="5B9BD5"/>
              <w:left w:val="nil"/>
              <w:bottom w:val="single" w:sz="4" w:space="0" w:color="5B9BD5" w:themeColor="accent1"/>
              <w:right w:val="single" w:sz="4" w:space="0" w:color="5B9BD5"/>
            </w:tcBorders>
            <w:shd w:val="clear" w:color="auto" w:fill="auto"/>
            <w:vAlign w:val="center"/>
          </w:tcPr>
          <w:p w:rsidR="00045917" w:rsidRPr="00D1550C" w:rsidRDefault="00045917" w:rsidP="003B78E9">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2021</w:t>
            </w:r>
          </w:p>
        </w:tc>
      </w:tr>
      <w:tr w:rsidR="00045917" w:rsidRPr="00D1550C" w:rsidTr="00045917">
        <w:trPr>
          <w:gridAfter w:val="1"/>
          <w:wAfter w:w="12" w:type="dxa"/>
          <w:trHeight w:val="283"/>
        </w:trPr>
        <w:tc>
          <w:tcPr>
            <w:tcW w:w="2835" w:type="dxa"/>
            <w:vMerge/>
            <w:tcBorders>
              <w:top w:val="single" w:sz="4" w:space="0" w:color="5B9BD5"/>
              <w:left w:val="single" w:sz="4" w:space="0" w:color="5B9BD5"/>
              <w:bottom w:val="single" w:sz="4" w:space="0" w:color="5B9BD5"/>
              <w:right w:val="single" w:sz="4" w:space="0" w:color="5B9BD5" w:themeColor="accent1"/>
            </w:tcBorders>
            <w:vAlign w:val="center"/>
            <w:hideMark/>
          </w:tcPr>
          <w:p w:rsidR="00045917" w:rsidRPr="00D1550C" w:rsidRDefault="00045917" w:rsidP="00045917">
            <w:pPr>
              <w:rPr>
                <w:rFonts w:asciiTheme="minorHAnsi" w:hAnsiTheme="minorHAnsi" w:cstheme="minorHAnsi"/>
                <w:color w:val="000000"/>
                <w:sz w:val="18"/>
                <w:szCs w:val="18"/>
              </w:rPr>
            </w:pPr>
          </w:p>
        </w:tc>
        <w:tc>
          <w:tcPr>
            <w:tcW w:w="987" w:type="dxa"/>
            <w:vMerge/>
            <w:tcBorders>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rPr>
                <w:rFonts w:asciiTheme="minorHAnsi" w:hAnsiTheme="minorHAnsi" w:cstheme="minorHAnsi"/>
                <w:color w:val="000000"/>
                <w:sz w:val="18"/>
                <w:szCs w:val="18"/>
              </w:rPr>
            </w:pPr>
          </w:p>
        </w:tc>
        <w:tc>
          <w:tcPr>
            <w:tcW w:w="851"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Q1</w:t>
            </w:r>
          </w:p>
        </w:tc>
        <w:tc>
          <w:tcPr>
            <w:tcW w:w="850" w:type="dxa"/>
            <w:tcBorders>
              <w:top w:val="nil"/>
              <w:left w:val="nil"/>
              <w:bottom w:val="single" w:sz="4" w:space="0" w:color="5B9BD5"/>
              <w:right w:val="single" w:sz="4" w:space="0" w:color="5B9BD5"/>
            </w:tcBorders>
            <w:shd w:val="clear" w:color="auto" w:fill="auto"/>
            <w:noWrap/>
            <w:vAlign w:val="center"/>
            <w:hideMark/>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Q2</w:t>
            </w:r>
          </w:p>
        </w:tc>
        <w:tc>
          <w:tcPr>
            <w:tcW w:w="851" w:type="dxa"/>
            <w:tcBorders>
              <w:top w:val="nil"/>
              <w:left w:val="nil"/>
              <w:bottom w:val="single" w:sz="4" w:space="0" w:color="5B9BD5"/>
              <w:right w:val="single" w:sz="4" w:space="0" w:color="5B9BD5"/>
            </w:tcBorders>
            <w:shd w:val="clear" w:color="auto" w:fill="auto"/>
            <w:noWrap/>
            <w:vAlign w:val="center"/>
            <w:hideMark/>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Q3</w:t>
            </w:r>
          </w:p>
        </w:tc>
        <w:tc>
          <w:tcPr>
            <w:tcW w:w="850" w:type="dxa"/>
            <w:tcBorders>
              <w:top w:val="nil"/>
              <w:left w:val="nil"/>
              <w:bottom w:val="single" w:sz="4" w:space="0" w:color="5B9BD5"/>
              <w:right w:val="single" w:sz="4" w:space="0" w:color="5B9BD5"/>
            </w:tcBorders>
            <w:shd w:val="clear" w:color="auto" w:fill="auto"/>
            <w:noWrap/>
            <w:vAlign w:val="center"/>
            <w:hideMark/>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Q4</w:t>
            </w:r>
          </w:p>
        </w:tc>
        <w:tc>
          <w:tcPr>
            <w:tcW w:w="998" w:type="dxa"/>
            <w:vMerge/>
            <w:tcBorders>
              <w:left w:val="nil"/>
              <w:bottom w:val="single" w:sz="4" w:space="0" w:color="5B9BD5"/>
              <w:right w:val="single" w:sz="4" w:space="0" w:color="5B9BD5" w:themeColor="accent1"/>
            </w:tcBorders>
            <w:shd w:val="clear" w:color="auto" w:fill="auto"/>
            <w:noWrap/>
            <w:vAlign w:val="center"/>
            <w:hideMark/>
          </w:tcPr>
          <w:p w:rsidR="00045917" w:rsidRPr="00D1550C" w:rsidRDefault="00045917" w:rsidP="00045917">
            <w:pPr>
              <w:jc w:val="center"/>
              <w:rPr>
                <w:rFonts w:asciiTheme="minorHAnsi" w:hAnsiTheme="minorHAnsi" w:cstheme="minorHAnsi"/>
                <w:color w:val="000000"/>
                <w:sz w:val="18"/>
                <w:szCs w:val="18"/>
              </w:rPr>
            </w:pPr>
          </w:p>
        </w:tc>
        <w:tc>
          <w:tcPr>
            <w:tcW w:w="99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Q1</w:t>
            </w:r>
          </w:p>
        </w:tc>
        <w:tc>
          <w:tcPr>
            <w:tcW w:w="998"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Q2</w:t>
            </w:r>
          </w:p>
        </w:tc>
        <w:tc>
          <w:tcPr>
            <w:tcW w:w="996" w:type="dxa"/>
            <w:tcBorders>
              <w:top w:val="nil"/>
              <w:left w:val="nil"/>
              <w:bottom w:val="single" w:sz="4" w:space="0" w:color="5B9BD5"/>
              <w:right w:val="single" w:sz="4" w:space="0" w:color="5B9BD5"/>
            </w:tcBorders>
            <w:shd w:val="clear" w:color="auto" w:fill="auto"/>
            <w:noWrap/>
            <w:vAlign w:val="center"/>
            <w:hideMark/>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Q3</w:t>
            </w:r>
          </w:p>
        </w:tc>
        <w:tc>
          <w:tcPr>
            <w:tcW w:w="995" w:type="dxa"/>
            <w:tcBorders>
              <w:top w:val="nil"/>
              <w:left w:val="nil"/>
              <w:bottom w:val="single" w:sz="4" w:space="0" w:color="5B9BD5"/>
              <w:right w:val="single" w:sz="4" w:space="0" w:color="5B9BD5"/>
            </w:tcBorders>
            <w:shd w:val="clear" w:color="auto" w:fill="auto"/>
            <w:noWrap/>
            <w:vAlign w:val="center"/>
            <w:hideMark/>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Q4</w:t>
            </w:r>
          </w:p>
        </w:tc>
        <w:tc>
          <w:tcPr>
            <w:tcW w:w="980" w:type="dxa"/>
            <w:vMerge/>
            <w:tcBorders>
              <w:left w:val="nil"/>
              <w:bottom w:val="single" w:sz="4" w:space="0" w:color="5B9BD5"/>
              <w:right w:val="single" w:sz="4" w:space="0" w:color="5B9BD5"/>
            </w:tcBorders>
            <w:shd w:val="clear" w:color="auto" w:fill="auto"/>
            <w:noWrap/>
            <w:vAlign w:val="center"/>
            <w:hideMark/>
          </w:tcPr>
          <w:p w:rsidR="00045917" w:rsidRPr="00D1550C" w:rsidRDefault="00045917" w:rsidP="00045917">
            <w:pPr>
              <w:jc w:val="center"/>
              <w:rPr>
                <w:rFonts w:asciiTheme="minorHAnsi" w:hAnsiTheme="minorHAnsi" w:cstheme="minorHAnsi"/>
                <w:color w:val="000000"/>
                <w:sz w:val="18"/>
                <w:szCs w:val="18"/>
              </w:rPr>
            </w:pPr>
          </w:p>
        </w:tc>
        <w:tc>
          <w:tcPr>
            <w:tcW w:w="845" w:type="dxa"/>
            <w:tcBorders>
              <w:top w:val="single" w:sz="4" w:space="0" w:color="5B9BD5" w:themeColor="accent1"/>
              <w:left w:val="nil"/>
              <w:bottom w:val="single" w:sz="4" w:space="0" w:color="5B9BD5"/>
              <w:right w:val="single" w:sz="4" w:space="0" w:color="5B9BD5"/>
            </w:tcBorders>
            <w:shd w:val="clear" w:color="auto" w:fill="auto"/>
            <w:vAlign w:val="center"/>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Q1</w:t>
            </w:r>
          </w:p>
        </w:tc>
        <w:tc>
          <w:tcPr>
            <w:tcW w:w="845" w:type="dxa"/>
            <w:tcBorders>
              <w:top w:val="single" w:sz="4" w:space="0" w:color="5B9BD5" w:themeColor="accent1"/>
              <w:left w:val="nil"/>
              <w:bottom w:val="single" w:sz="4" w:space="0" w:color="5B9BD5"/>
              <w:right w:val="single" w:sz="4" w:space="0" w:color="5B9BD5"/>
            </w:tcBorders>
            <w:shd w:val="clear" w:color="auto" w:fill="auto"/>
            <w:vAlign w:val="center"/>
          </w:tcPr>
          <w:p w:rsidR="00045917" w:rsidRPr="00D1550C" w:rsidRDefault="00045917" w:rsidP="00045917">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Q2</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045917" w:rsidRPr="00D1550C" w:rsidRDefault="00045917" w:rsidP="00045917">
            <w:pPr>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Financial account</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045917" w:rsidRPr="00D1550C" w:rsidRDefault="00045917" w:rsidP="00045917">
            <w:pPr>
              <w:ind w:left="-112" w:right="-148"/>
              <w:jc w:val="center"/>
              <w:rPr>
                <w:rFonts w:cs="Calibri"/>
                <w:b/>
                <w:bCs/>
                <w:color w:val="000000"/>
                <w:sz w:val="19"/>
                <w:szCs w:val="19"/>
              </w:rPr>
            </w:pPr>
            <w:r w:rsidRPr="00D1550C">
              <w:rPr>
                <w:rFonts w:cs="Calibri"/>
                <w:b/>
                <w:bCs/>
                <w:color w:val="000000"/>
                <w:sz w:val="19"/>
                <w:szCs w:val="19"/>
              </w:rPr>
              <w:t>-5 065,1</w:t>
            </w:r>
          </w:p>
        </w:tc>
        <w:tc>
          <w:tcPr>
            <w:tcW w:w="85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-1 542,2</w:t>
            </w:r>
          </w:p>
        </w:tc>
        <w:tc>
          <w:tcPr>
            <w:tcW w:w="850"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-1 172,4</w:t>
            </w:r>
          </w:p>
        </w:tc>
        <w:tc>
          <w:tcPr>
            <w:tcW w:w="851"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-696,7</w:t>
            </w:r>
          </w:p>
        </w:tc>
        <w:tc>
          <w:tcPr>
            <w:tcW w:w="850"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-1 653,8</w:t>
            </w:r>
          </w:p>
        </w:tc>
        <w:tc>
          <w:tcPr>
            <w:tcW w:w="998"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-4 118,1</w:t>
            </w:r>
          </w:p>
        </w:tc>
        <w:tc>
          <w:tcPr>
            <w:tcW w:w="99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-1 322,9</w:t>
            </w:r>
          </w:p>
        </w:tc>
        <w:tc>
          <w:tcPr>
            <w:tcW w:w="998"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-1 895,2</w:t>
            </w:r>
          </w:p>
        </w:tc>
        <w:tc>
          <w:tcPr>
            <w:tcW w:w="996"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2 404,6</w:t>
            </w:r>
          </w:p>
        </w:tc>
        <w:tc>
          <w:tcPr>
            <w:tcW w:w="995"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-3 304,6</w:t>
            </w:r>
          </w:p>
        </w:tc>
        <w:tc>
          <w:tcPr>
            <w:tcW w:w="980"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-3 621,5</w:t>
            </w:r>
          </w:p>
        </w:tc>
        <w:tc>
          <w:tcPr>
            <w:tcW w:w="845" w:type="dxa"/>
            <w:tcBorders>
              <w:top w:val="nil"/>
              <w:left w:val="nil"/>
              <w:bottom w:val="single" w:sz="4" w:space="0" w:color="5B9BD5"/>
              <w:right w:val="single" w:sz="4" w:space="0" w:color="5B9BD5"/>
            </w:tcBorders>
            <w:shd w:val="clear" w:color="000000" w:fill="BDD7EE"/>
            <w:vAlign w:val="center"/>
          </w:tcPr>
          <w:p w:rsidR="00045917" w:rsidRPr="00D1550C" w:rsidRDefault="00045917" w:rsidP="00045917">
            <w:pPr>
              <w:ind w:left="-10" w:right="-10"/>
              <w:jc w:val="center"/>
              <w:rPr>
                <w:rFonts w:cs="Calibri"/>
                <w:b/>
                <w:bCs/>
                <w:color w:val="000000"/>
                <w:sz w:val="19"/>
                <w:szCs w:val="19"/>
              </w:rPr>
            </w:pPr>
            <w:r w:rsidRPr="00D1550C">
              <w:rPr>
                <w:rFonts w:cs="Calibri"/>
                <w:b/>
                <w:bCs/>
                <w:color w:val="000000"/>
                <w:sz w:val="19"/>
                <w:szCs w:val="19"/>
              </w:rPr>
              <w:t>-2 054,8</w:t>
            </w:r>
          </w:p>
        </w:tc>
        <w:tc>
          <w:tcPr>
            <w:tcW w:w="845" w:type="dxa"/>
            <w:tcBorders>
              <w:top w:val="nil"/>
              <w:left w:val="nil"/>
              <w:bottom w:val="single" w:sz="4" w:space="0" w:color="5B9BD5"/>
              <w:right w:val="single" w:sz="4" w:space="0" w:color="5B9BD5"/>
            </w:tcBorders>
            <w:shd w:val="clear" w:color="000000" w:fill="BDD7EE"/>
            <w:vAlign w:val="center"/>
          </w:tcPr>
          <w:p w:rsidR="00045917" w:rsidRPr="00D1550C" w:rsidRDefault="00045917" w:rsidP="00045917">
            <w:pPr>
              <w:ind w:left="-10" w:right="-10"/>
              <w:jc w:val="center"/>
              <w:rPr>
                <w:rFonts w:cs="Calibri"/>
                <w:b/>
                <w:bCs/>
                <w:color w:val="000000"/>
                <w:sz w:val="19"/>
                <w:szCs w:val="19"/>
              </w:rPr>
            </w:pPr>
            <w:r w:rsidRPr="00D1550C">
              <w:rPr>
                <w:rFonts w:cs="Calibri"/>
                <w:b/>
                <w:bCs/>
                <w:color w:val="000000"/>
                <w:sz w:val="19"/>
                <w:szCs w:val="19"/>
              </w:rPr>
              <w:t>-1 566,7</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000000" w:fill="BDD7EE"/>
            <w:vAlign w:val="center"/>
            <w:hideMark/>
          </w:tcPr>
          <w:p w:rsidR="00045917" w:rsidRPr="00D1550C" w:rsidRDefault="00045917" w:rsidP="00045917">
            <w:pPr>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Net acquisition of financial assets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045917" w:rsidRPr="00D1550C" w:rsidRDefault="00045917" w:rsidP="00045917">
            <w:pPr>
              <w:ind w:left="-112" w:right="-148"/>
              <w:jc w:val="center"/>
              <w:rPr>
                <w:rFonts w:cs="Calibri"/>
                <w:b/>
                <w:bCs/>
                <w:color w:val="000000"/>
                <w:sz w:val="19"/>
                <w:szCs w:val="19"/>
              </w:rPr>
            </w:pPr>
            <w:r w:rsidRPr="00D1550C">
              <w:rPr>
                <w:rFonts w:cs="Calibri"/>
                <w:b/>
                <w:bCs/>
                <w:color w:val="000000"/>
                <w:sz w:val="19"/>
                <w:szCs w:val="19"/>
              </w:rPr>
              <w:t>4 036,9</w:t>
            </w:r>
          </w:p>
        </w:tc>
        <w:tc>
          <w:tcPr>
            <w:tcW w:w="85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766,9</w:t>
            </w:r>
          </w:p>
        </w:tc>
        <w:tc>
          <w:tcPr>
            <w:tcW w:w="850"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795,9</w:t>
            </w:r>
          </w:p>
        </w:tc>
        <w:tc>
          <w:tcPr>
            <w:tcW w:w="851"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355,8</w:t>
            </w:r>
          </w:p>
        </w:tc>
        <w:tc>
          <w:tcPr>
            <w:tcW w:w="850"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2 118,2</w:t>
            </w:r>
          </w:p>
        </w:tc>
        <w:tc>
          <w:tcPr>
            <w:tcW w:w="998"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7 048,2</w:t>
            </w:r>
          </w:p>
        </w:tc>
        <w:tc>
          <w:tcPr>
            <w:tcW w:w="998"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611,0</w:t>
            </w:r>
          </w:p>
        </w:tc>
        <w:tc>
          <w:tcPr>
            <w:tcW w:w="998"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453,8</w:t>
            </w:r>
          </w:p>
        </w:tc>
        <w:tc>
          <w:tcPr>
            <w:tcW w:w="996"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4 275,1</w:t>
            </w:r>
          </w:p>
        </w:tc>
        <w:tc>
          <w:tcPr>
            <w:tcW w:w="995"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1 708,2</w:t>
            </w:r>
          </w:p>
        </w:tc>
        <w:tc>
          <w:tcPr>
            <w:tcW w:w="980" w:type="dxa"/>
            <w:tcBorders>
              <w:top w:val="nil"/>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201,7</w:t>
            </w:r>
          </w:p>
        </w:tc>
        <w:tc>
          <w:tcPr>
            <w:tcW w:w="845" w:type="dxa"/>
            <w:tcBorders>
              <w:top w:val="nil"/>
              <w:left w:val="nil"/>
              <w:bottom w:val="single" w:sz="4" w:space="0" w:color="5B9BD5"/>
              <w:right w:val="single" w:sz="4" w:space="0" w:color="5B9BD5"/>
            </w:tcBorders>
            <w:shd w:val="clear" w:color="000000" w:fill="BDD7EE"/>
            <w:vAlign w:val="center"/>
          </w:tcPr>
          <w:p w:rsidR="00045917" w:rsidRPr="00D1550C" w:rsidRDefault="00045917" w:rsidP="00045917">
            <w:pPr>
              <w:ind w:left="-10" w:right="-10"/>
              <w:jc w:val="center"/>
              <w:rPr>
                <w:rFonts w:cs="Calibri"/>
                <w:b/>
                <w:bCs/>
                <w:color w:val="000000"/>
                <w:sz w:val="19"/>
                <w:szCs w:val="19"/>
              </w:rPr>
            </w:pPr>
            <w:r w:rsidRPr="00D1550C">
              <w:rPr>
                <w:rFonts w:cs="Calibri"/>
                <w:b/>
                <w:bCs/>
                <w:color w:val="000000"/>
                <w:sz w:val="19"/>
                <w:szCs w:val="19"/>
              </w:rPr>
              <w:t>-932,4</w:t>
            </w:r>
          </w:p>
        </w:tc>
        <w:tc>
          <w:tcPr>
            <w:tcW w:w="845" w:type="dxa"/>
            <w:tcBorders>
              <w:top w:val="nil"/>
              <w:left w:val="nil"/>
              <w:bottom w:val="single" w:sz="4" w:space="0" w:color="5B9BD5"/>
              <w:right w:val="single" w:sz="4" w:space="0" w:color="5B9BD5"/>
            </w:tcBorders>
            <w:shd w:val="clear" w:color="000000" w:fill="BDD7EE"/>
            <w:vAlign w:val="center"/>
          </w:tcPr>
          <w:p w:rsidR="00045917" w:rsidRPr="00D1550C" w:rsidRDefault="00045917" w:rsidP="00045917">
            <w:pPr>
              <w:ind w:left="-10" w:right="-10"/>
              <w:jc w:val="center"/>
              <w:rPr>
                <w:rFonts w:cs="Calibri"/>
                <w:b/>
                <w:bCs/>
                <w:color w:val="000000"/>
                <w:sz w:val="19"/>
                <w:szCs w:val="19"/>
              </w:rPr>
            </w:pPr>
            <w:r w:rsidRPr="00D1550C">
              <w:rPr>
                <w:rFonts w:cs="Calibri"/>
                <w:b/>
                <w:bCs/>
                <w:color w:val="000000"/>
                <w:sz w:val="19"/>
                <w:szCs w:val="19"/>
              </w:rPr>
              <w:t>1 134,1</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045917">
            <w:pPr>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abroad</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ind w:left="-112" w:right="-148"/>
              <w:jc w:val="center"/>
              <w:rPr>
                <w:rFonts w:cs="Calibri"/>
                <w:color w:val="000000"/>
                <w:sz w:val="19"/>
                <w:szCs w:val="19"/>
              </w:rPr>
            </w:pPr>
            <w:r w:rsidRPr="00D1550C">
              <w:rPr>
                <w:rFonts w:cs="Calibri"/>
                <w:color w:val="000000"/>
                <w:sz w:val="19"/>
                <w:szCs w:val="19"/>
              </w:rPr>
              <w:t>3,1</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0,8</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0,7</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1,0</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0,6</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11,3</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9,3</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0,7</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0,6</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0,7</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1,2</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0,6</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0,6</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045917">
            <w:pPr>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ind w:left="-112" w:right="-148"/>
              <w:jc w:val="center"/>
              <w:rPr>
                <w:rFonts w:cs="Calibri"/>
                <w:color w:val="000000"/>
                <w:sz w:val="19"/>
                <w:szCs w:val="19"/>
              </w:rPr>
            </w:pPr>
            <w:r w:rsidRPr="00D1550C">
              <w:rPr>
                <w:rFonts w:cs="Calibri"/>
                <w:color w:val="000000"/>
                <w:sz w:val="19"/>
                <w:szCs w:val="19"/>
              </w:rPr>
              <w:t>-</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0,0</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045917">
            <w:pPr>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ind w:left="-112" w:right="-148"/>
              <w:jc w:val="center"/>
              <w:rPr>
                <w:rFonts w:cs="Calibri"/>
                <w:color w:val="000000"/>
                <w:sz w:val="19"/>
                <w:szCs w:val="19"/>
              </w:rPr>
            </w:pPr>
            <w:r w:rsidRPr="00D1550C">
              <w:rPr>
                <w:rFonts w:cs="Calibri"/>
                <w:color w:val="000000"/>
                <w:sz w:val="19"/>
                <w:szCs w:val="19"/>
              </w:rPr>
              <w:t>2 627,2</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- 8,9</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1 198,9</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64,1</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1 373,1</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5 265,5</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601,0</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427,6</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2 301,5</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1 935,4</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982,1</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355,4</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626,7</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cBorders>
            <w:shd w:val="clear" w:color="auto" w:fill="auto"/>
            <w:noWrap/>
            <w:vAlign w:val="center"/>
            <w:hideMark/>
          </w:tcPr>
          <w:p w:rsidR="00045917" w:rsidRPr="00D1550C" w:rsidRDefault="00045917" w:rsidP="00045917">
            <w:pPr>
              <w:ind w:left="175"/>
              <w:rPr>
                <w:rFonts w:asciiTheme="minorHAnsi" w:hAnsiTheme="minorHAnsi" w:cstheme="minorHAnsi"/>
                <w:color w:val="000000"/>
                <w:sz w:val="18"/>
                <w:szCs w:val="18"/>
              </w:rPr>
            </w:pPr>
            <w:r w:rsidRPr="00D1550C">
              <w:rPr>
                <w:rFonts w:asciiTheme="minorHAnsi" w:hAnsiTheme="minorHAnsi" w:cstheme="minorHAnsi"/>
                <w:i/>
                <w:iCs/>
                <w:color w:val="000000"/>
                <w:sz w:val="18"/>
                <w:szCs w:val="18"/>
              </w:rPr>
              <w:t xml:space="preserve">of which </w:t>
            </w:r>
          </w:p>
        </w:tc>
        <w:tc>
          <w:tcPr>
            <w:tcW w:w="987"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112" w:right="-148"/>
              <w:jc w:val="center"/>
              <w:rPr>
                <w:rFonts w:cs="Calibri"/>
                <w:color w:val="000000"/>
                <w:sz w:val="19"/>
                <w:szCs w:val="19"/>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62" w:right="-57"/>
              <w:jc w:val="center"/>
              <w:rPr>
                <w:rFonts w:cs="Calibri"/>
                <w:color w:val="000000"/>
                <w:sz w:val="19"/>
                <w:szCs w:val="19"/>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62" w:right="-57"/>
              <w:jc w:val="center"/>
              <w:rPr>
                <w:rFonts w:cs="Calibri"/>
                <w:color w:val="000000"/>
                <w:sz w:val="19"/>
                <w:szCs w:val="19"/>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62" w:right="-57"/>
              <w:jc w:val="center"/>
              <w:rPr>
                <w:rFonts w:cs="Calibri"/>
                <w:color w:val="000000"/>
                <w:sz w:val="19"/>
                <w:szCs w:val="19"/>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62" w:right="-57"/>
              <w:jc w:val="center"/>
              <w:rPr>
                <w:rFonts w:cs="Calibri"/>
                <w:color w:val="000000"/>
                <w:sz w:val="19"/>
                <w:szCs w:val="19"/>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62" w:right="-57"/>
              <w:jc w:val="center"/>
              <w:rPr>
                <w:rFonts w:cs="Calibri"/>
                <w:color w:val="000000"/>
                <w:sz w:val="19"/>
                <w:szCs w:val="19"/>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62" w:right="-57"/>
              <w:jc w:val="center"/>
              <w:rPr>
                <w:rFonts w:cs="Calibri"/>
                <w:color w:val="000000"/>
                <w:sz w:val="19"/>
                <w:szCs w:val="19"/>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62" w:right="-57"/>
              <w:jc w:val="center"/>
              <w:rPr>
                <w:rFonts w:cs="Calibri"/>
                <w:color w:val="000000"/>
                <w:sz w:val="19"/>
                <w:szCs w:val="19"/>
              </w:rPr>
            </w:pPr>
          </w:p>
        </w:tc>
        <w:tc>
          <w:tcPr>
            <w:tcW w:w="996"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62" w:right="-57"/>
              <w:jc w:val="center"/>
              <w:rPr>
                <w:rFonts w:cs="Calibri"/>
                <w:color w:val="000000"/>
                <w:sz w:val="19"/>
                <w:szCs w:val="19"/>
              </w:rPr>
            </w:pPr>
          </w:p>
        </w:tc>
        <w:tc>
          <w:tcPr>
            <w:tcW w:w="995"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ind w:left="-62" w:right="-57"/>
              <w:jc w:val="center"/>
              <w:rPr>
                <w:rFonts w:cs="Calibri"/>
                <w:color w:val="000000"/>
                <w:sz w:val="19"/>
                <w:szCs w:val="19"/>
              </w:rPr>
            </w:pPr>
          </w:p>
        </w:tc>
        <w:tc>
          <w:tcPr>
            <w:tcW w:w="980"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845" w:type="dxa"/>
            <w:tcBorders>
              <w:top w:val="nil"/>
              <w:left w:val="single" w:sz="4" w:space="0" w:color="5B9BD5"/>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p>
        </w:tc>
        <w:tc>
          <w:tcPr>
            <w:tcW w:w="845" w:type="dxa"/>
            <w:tcBorders>
              <w:top w:val="nil"/>
              <w:left w:val="single" w:sz="4" w:space="0" w:color="5B9BD5"/>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045917">
            <w:pPr>
              <w:ind w:firstLineChars="200" w:firstLine="360"/>
              <w:rPr>
                <w:rFonts w:asciiTheme="minorHAnsi" w:hAnsiTheme="minorHAnsi" w:cstheme="minorHAnsi"/>
                <w:i/>
                <w:iCs/>
                <w:color w:val="000000"/>
                <w:sz w:val="18"/>
                <w:szCs w:val="18"/>
              </w:rPr>
            </w:pPr>
            <w:r w:rsidRPr="00D1550C">
              <w:rPr>
                <w:rFonts w:asciiTheme="minorHAnsi" w:hAnsiTheme="minorHAnsi" w:cstheme="minorHAnsi"/>
                <w:i/>
                <w:iCs/>
                <w:color w:val="000000"/>
                <w:sz w:val="18"/>
                <w:szCs w:val="18"/>
              </w:rPr>
              <w:t>currency and deposits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ind w:left="-112" w:right="-148"/>
              <w:jc w:val="center"/>
              <w:rPr>
                <w:rFonts w:cs="Calibri"/>
                <w:color w:val="000000"/>
                <w:sz w:val="19"/>
                <w:szCs w:val="19"/>
              </w:rPr>
            </w:pPr>
            <w:r w:rsidRPr="00D1550C">
              <w:rPr>
                <w:rFonts w:cs="Calibri"/>
                <w:color w:val="000000"/>
                <w:sz w:val="19"/>
                <w:szCs w:val="19"/>
              </w:rPr>
              <w:t>591,0</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274,0</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-303,6</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39,6</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580,9</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3 149,4</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390,4</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221,5</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892,2</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1 645,2</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507,6</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272,0</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235,7</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045917">
            <w:pPr>
              <w:ind w:firstLineChars="200" w:firstLine="360"/>
              <w:rPr>
                <w:rFonts w:asciiTheme="minorHAnsi" w:hAnsiTheme="minorHAnsi" w:cstheme="minorHAnsi"/>
                <w:i/>
                <w:iCs/>
                <w:color w:val="000000"/>
                <w:sz w:val="18"/>
                <w:szCs w:val="18"/>
              </w:rPr>
            </w:pPr>
            <w:r w:rsidRPr="00D1550C">
              <w:rPr>
                <w:rFonts w:asciiTheme="minorHAnsi" w:hAnsiTheme="minorHAnsi" w:cstheme="minorHAnsi"/>
                <w:i/>
                <w:iCs/>
                <w:color w:val="000000"/>
                <w:sz w:val="18"/>
                <w:szCs w:val="18"/>
              </w:rPr>
              <w:t>trade credits and advances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ind w:left="-112" w:right="-148"/>
              <w:jc w:val="center"/>
              <w:rPr>
                <w:rFonts w:cs="Calibri"/>
                <w:color w:val="000000"/>
                <w:sz w:val="19"/>
                <w:szCs w:val="19"/>
              </w:rPr>
            </w:pPr>
            <w:r w:rsidRPr="00D1550C">
              <w:rPr>
                <w:rFonts w:cs="Calibri"/>
                <w:color w:val="000000"/>
                <w:sz w:val="19"/>
                <w:szCs w:val="19"/>
              </w:rPr>
              <w:t>2 037,2</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-282,9</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1 504,9</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23,8</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791,4</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2 112,8</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210,1</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203,0</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1 409,6</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ind w:left="-62" w:right="-57"/>
              <w:jc w:val="center"/>
              <w:rPr>
                <w:rFonts w:cs="Calibri"/>
                <w:color w:val="000000"/>
                <w:sz w:val="19"/>
                <w:szCs w:val="19"/>
              </w:rPr>
            </w:pPr>
            <w:r w:rsidRPr="00D1550C">
              <w:rPr>
                <w:rFonts w:cs="Calibri"/>
                <w:color w:val="000000"/>
                <w:sz w:val="19"/>
                <w:szCs w:val="19"/>
              </w:rPr>
              <w:t>290,2</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471,4</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82,5</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ind w:left="-10" w:right="-10"/>
              <w:jc w:val="center"/>
              <w:rPr>
                <w:rFonts w:cs="Calibri"/>
                <w:color w:val="000000"/>
                <w:sz w:val="19"/>
                <w:szCs w:val="19"/>
              </w:rPr>
            </w:pPr>
            <w:r w:rsidRPr="00D1550C">
              <w:rPr>
                <w:rFonts w:cs="Calibri"/>
                <w:color w:val="000000"/>
                <w:sz w:val="19"/>
                <w:szCs w:val="19"/>
              </w:rPr>
              <w:t>388,9</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themeColor="accent1"/>
              <w:right w:val="single" w:sz="4" w:space="0" w:color="5B9BD5" w:themeColor="accent1"/>
            </w:tcBorders>
            <w:shd w:val="clear" w:color="auto" w:fill="auto"/>
            <w:noWrap/>
            <w:vAlign w:val="center"/>
            <w:hideMark/>
          </w:tcPr>
          <w:p w:rsidR="00045917" w:rsidRPr="00D1550C" w:rsidRDefault="00045917" w:rsidP="00045917">
            <w:pPr>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Reserve assets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ind w:left="-112" w:right="-148"/>
              <w:jc w:val="center"/>
              <w:rPr>
                <w:rFonts w:cs="Calibri"/>
                <w:b/>
                <w:bCs/>
                <w:color w:val="000000"/>
                <w:sz w:val="19"/>
                <w:szCs w:val="19"/>
              </w:rPr>
            </w:pPr>
            <w:r w:rsidRPr="00D1550C">
              <w:rPr>
                <w:rFonts w:cs="Calibri"/>
                <w:b/>
                <w:bCs/>
                <w:color w:val="000000"/>
                <w:sz w:val="19"/>
                <w:szCs w:val="19"/>
              </w:rPr>
              <w:t>1 406,6</w:t>
            </w:r>
          </w:p>
        </w:tc>
        <w:tc>
          <w:tcPr>
            <w:tcW w:w="851" w:type="dxa"/>
            <w:tcBorders>
              <w:top w:val="nil"/>
              <w:left w:val="single" w:sz="4" w:space="0" w:color="5B9BD5" w:themeColor="accent1"/>
              <w:bottom w:val="single" w:sz="4" w:space="0" w:color="5B9BD5" w:themeColor="accent1"/>
              <w:right w:val="single" w:sz="4" w:space="0" w:color="5B9BD5"/>
            </w:tcBorders>
            <w:shd w:val="clear" w:color="auto" w:fill="auto"/>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775,0</w:t>
            </w:r>
          </w:p>
        </w:tc>
        <w:tc>
          <w:tcPr>
            <w:tcW w:w="850" w:type="dxa"/>
            <w:tcBorders>
              <w:top w:val="nil"/>
              <w:left w:val="nil"/>
              <w:bottom w:val="single" w:sz="4" w:space="0" w:color="5B9BD5" w:themeColor="accent1"/>
              <w:right w:val="single" w:sz="4" w:space="0" w:color="5B9BD5"/>
            </w:tcBorders>
            <w:shd w:val="clear" w:color="auto" w:fill="auto"/>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-403,6</w:t>
            </w:r>
          </w:p>
        </w:tc>
        <w:tc>
          <w:tcPr>
            <w:tcW w:w="851" w:type="dxa"/>
            <w:tcBorders>
              <w:top w:val="nil"/>
              <w:left w:val="nil"/>
              <w:bottom w:val="single" w:sz="4" w:space="0" w:color="5B9BD5" w:themeColor="accent1"/>
              <w:right w:val="single" w:sz="4" w:space="0" w:color="5B9BD5"/>
            </w:tcBorders>
            <w:shd w:val="clear" w:color="auto" w:fill="auto"/>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290,7</w:t>
            </w:r>
          </w:p>
        </w:tc>
        <w:tc>
          <w:tcPr>
            <w:tcW w:w="850" w:type="dxa"/>
            <w:tcBorders>
              <w:top w:val="nil"/>
              <w:left w:val="nil"/>
              <w:bottom w:val="single" w:sz="4" w:space="0" w:color="5B9BD5" w:themeColor="accent1"/>
              <w:right w:val="single" w:sz="4" w:space="0" w:color="5B9BD5"/>
            </w:tcBorders>
            <w:shd w:val="clear" w:color="auto" w:fill="auto"/>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744,5</w:t>
            </w:r>
          </w:p>
        </w:tc>
        <w:tc>
          <w:tcPr>
            <w:tcW w:w="998" w:type="dxa"/>
            <w:tcBorders>
              <w:top w:val="nil"/>
              <w:left w:val="nil"/>
              <w:bottom w:val="single" w:sz="4" w:space="0" w:color="5B9BD5" w:themeColor="accent1"/>
              <w:right w:val="single" w:sz="4" w:space="0" w:color="5B9BD5"/>
            </w:tcBorders>
            <w:shd w:val="clear" w:color="auto" w:fill="auto"/>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1 771,4</w:t>
            </w:r>
          </w:p>
        </w:tc>
        <w:tc>
          <w:tcPr>
            <w:tcW w:w="998" w:type="dxa"/>
            <w:tcBorders>
              <w:top w:val="nil"/>
              <w:left w:val="nil"/>
              <w:bottom w:val="single" w:sz="4" w:space="0" w:color="5B9BD5" w:themeColor="accent1"/>
              <w:right w:val="single" w:sz="4" w:space="0" w:color="5B9BD5"/>
            </w:tcBorders>
            <w:shd w:val="clear" w:color="auto" w:fill="auto"/>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0,7</w:t>
            </w:r>
          </w:p>
        </w:tc>
        <w:tc>
          <w:tcPr>
            <w:tcW w:w="998" w:type="dxa"/>
            <w:tcBorders>
              <w:top w:val="nil"/>
              <w:left w:val="nil"/>
              <w:bottom w:val="single" w:sz="4" w:space="0" w:color="5B9BD5" w:themeColor="accent1"/>
              <w:right w:val="single" w:sz="4" w:space="0" w:color="5B9BD5"/>
            </w:tcBorders>
            <w:shd w:val="clear" w:color="auto" w:fill="auto"/>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25,5</w:t>
            </w:r>
          </w:p>
        </w:tc>
        <w:tc>
          <w:tcPr>
            <w:tcW w:w="996" w:type="dxa"/>
            <w:tcBorders>
              <w:top w:val="nil"/>
              <w:left w:val="nil"/>
              <w:bottom w:val="single" w:sz="4" w:space="0" w:color="5B9BD5" w:themeColor="accent1"/>
              <w:right w:val="single" w:sz="4" w:space="0" w:color="5B9BD5"/>
            </w:tcBorders>
            <w:shd w:val="clear" w:color="auto" w:fill="auto"/>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1 973,0</w:t>
            </w:r>
          </w:p>
        </w:tc>
        <w:tc>
          <w:tcPr>
            <w:tcW w:w="995" w:type="dxa"/>
            <w:tcBorders>
              <w:top w:val="nil"/>
              <w:left w:val="nil"/>
              <w:bottom w:val="single" w:sz="4" w:space="0" w:color="5B9BD5" w:themeColor="accent1"/>
              <w:right w:val="single" w:sz="4" w:space="0" w:color="5B9BD5"/>
            </w:tcBorders>
            <w:shd w:val="clear" w:color="auto" w:fill="auto"/>
            <w:noWrap/>
            <w:vAlign w:val="center"/>
          </w:tcPr>
          <w:p w:rsidR="00045917" w:rsidRPr="00D1550C" w:rsidRDefault="00045917" w:rsidP="00045917">
            <w:pPr>
              <w:ind w:left="-62" w:right="-57"/>
              <w:jc w:val="center"/>
              <w:rPr>
                <w:rFonts w:cs="Calibri"/>
                <w:b/>
                <w:bCs/>
                <w:color w:val="000000"/>
                <w:sz w:val="19"/>
                <w:szCs w:val="19"/>
              </w:rPr>
            </w:pPr>
            <w:r w:rsidRPr="00D1550C">
              <w:rPr>
                <w:rFonts w:cs="Calibri"/>
                <w:b/>
                <w:bCs/>
                <w:color w:val="000000"/>
                <w:sz w:val="19"/>
                <w:szCs w:val="19"/>
              </w:rPr>
              <w:t>-227,8</w:t>
            </w:r>
          </w:p>
        </w:tc>
        <w:tc>
          <w:tcPr>
            <w:tcW w:w="980" w:type="dxa"/>
            <w:tcBorders>
              <w:top w:val="nil"/>
              <w:left w:val="nil"/>
              <w:bottom w:val="single" w:sz="4" w:space="0" w:color="5B9BD5" w:themeColor="accent1"/>
              <w:right w:val="single" w:sz="4" w:space="0" w:color="5B9BD5"/>
            </w:tcBorders>
            <w:shd w:val="clear" w:color="auto" w:fill="auto"/>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-781,7</w:t>
            </w:r>
          </w:p>
        </w:tc>
        <w:tc>
          <w:tcPr>
            <w:tcW w:w="845" w:type="dxa"/>
            <w:tcBorders>
              <w:top w:val="nil"/>
              <w:left w:val="nil"/>
              <w:bottom w:val="single" w:sz="4" w:space="0" w:color="5B9BD5" w:themeColor="accent1"/>
              <w:right w:val="single" w:sz="4" w:space="0" w:color="5B9BD5"/>
            </w:tcBorders>
            <w:vAlign w:val="center"/>
          </w:tcPr>
          <w:p w:rsidR="00045917" w:rsidRPr="00D1550C" w:rsidRDefault="00045917" w:rsidP="00045917">
            <w:pPr>
              <w:ind w:left="-10" w:right="-10"/>
              <w:jc w:val="center"/>
              <w:rPr>
                <w:rFonts w:cs="Calibri"/>
                <w:b/>
                <w:bCs/>
                <w:color w:val="000000"/>
                <w:sz w:val="19"/>
                <w:szCs w:val="19"/>
              </w:rPr>
            </w:pPr>
            <w:r w:rsidRPr="00D1550C">
              <w:rPr>
                <w:rFonts w:cs="Calibri"/>
                <w:b/>
                <w:bCs/>
                <w:color w:val="000000"/>
                <w:sz w:val="19"/>
                <w:szCs w:val="19"/>
              </w:rPr>
              <w:t>-1 288,4</w:t>
            </w:r>
          </w:p>
        </w:tc>
        <w:tc>
          <w:tcPr>
            <w:tcW w:w="845" w:type="dxa"/>
            <w:tcBorders>
              <w:top w:val="nil"/>
              <w:left w:val="nil"/>
              <w:bottom w:val="single" w:sz="4" w:space="0" w:color="5B9BD5" w:themeColor="accent1"/>
              <w:right w:val="single" w:sz="4" w:space="0" w:color="5B9BD5"/>
            </w:tcBorders>
            <w:vAlign w:val="center"/>
          </w:tcPr>
          <w:p w:rsidR="00045917" w:rsidRPr="00D1550C" w:rsidRDefault="00045917" w:rsidP="00045917">
            <w:pPr>
              <w:ind w:left="-10" w:right="-10"/>
              <w:jc w:val="center"/>
              <w:rPr>
                <w:rFonts w:cs="Calibri"/>
                <w:b/>
                <w:bCs/>
                <w:color w:val="000000"/>
                <w:sz w:val="19"/>
                <w:szCs w:val="19"/>
              </w:rPr>
            </w:pPr>
            <w:r w:rsidRPr="00D1550C">
              <w:rPr>
                <w:rFonts w:cs="Calibri"/>
                <w:b/>
                <w:bCs/>
                <w:color w:val="000000"/>
                <w:sz w:val="19"/>
                <w:szCs w:val="19"/>
              </w:rPr>
              <w:t>506,7</w:t>
            </w:r>
          </w:p>
        </w:tc>
      </w:tr>
      <w:tr w:rsidR="00045917" w:rsidRPr="00D1550C" w:rsidTr="00415570">
        <w:trPr>
          <w:trHeight w:val="227"/>
        </w:trPr>
        <w:tc>
          <w:tcPr>
            <w:tcW w:w="14891" w:type="dxa"/>
            <w:gridSpan w:val="15"/>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267162">
            <w:pPr>
              <w:jc w:val="center"/>
              <w:rPr>
                <w:rFonts w:asciiTheme="minorHAnsi" w:hAnsiTheme="minorHAnsi" w:cstheme="minorHAnsi"/>
                <w:color w:val="000000"/>
                <w:sz w:val="18"/>
                <w:szCs w:val="18"/>
              </w:rPr>
            </w:pPr>
          </w:p>
        </w:tc>
      </w:tr>
      <w:tr w:rsidR="00045917" w:rsidRPr="00D1550C" w:rsidTr="00415570">
        <w:trPr>
          <w:gridAfter w:val="1"/>
          <w:wAfter w:w="12" w:type="dxa"/>
          <w:trHeight w:val="227"/>
        </w:trPr>
        <w:tc>
          <w:tcPr>
            <w:tcW w:w="2835"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vAlign w:val="center"/>
            <w:hideMark/>
          </w:tcPr>
          <w:p w:rsidR="00045917" w:rsidRPr="00D1550C" w:rsidRDefault="00045917" w:rsidP="00045917">
            <w:pPr>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Net acquisition of financial liabilities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9 102,0</w:t>
            </w:r>
          </w:p>
        </w:tc>
        <w:tc>
          <w:tcPr>
            <w:tcW w:w="851" w:type="dxa"/>
            <w:tcBorders>
              <w:top w:val="single" w:sz="4" w:space="0" w:color="5B9BD5" w:themeColor="accent1"/>
              <w:left w:val="single" w:sz="4" w:space="0" w:color="5B9BD5" w:themeColor="accent1"/>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2 309,1</w:t>
            </w:r>
          </w:p>
        </w:tc>
        <w:tc>
          <w:tcPr>
            <w:tcW w:w="850"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1 968,3</w:t>
            </w:r>
          </w:p>
        </w:tc>
        <w:tc>
          <w:tcPr>
            <w:tcW w:w="851"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1 052,6</w:t>
            </w:r>
          </w:p>
        </w:tc>
        <w:tc>
          <w:tcPr>
            <w:tcW w:w="850"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3 772,0</w:t>
            </w:r>
          </w:p>
        </w:tc>
        <w:tc>
          <w:tcPr>
            <w:tcW w:w="99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11 166,3</w:t>
            </w:r>
          </w:p>
        </w:tc>
        <w:tc>
          <w:tcPr>
            <w:tcW w:w="99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1 934,0</w:t>
            </w:r>
          </w:p>
        </w:tc>
        <w:tc>
          <w:tcPr>
            <w:tcW w:w="99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2 349,0</w:t>
            </w:r>
          </w:p>
        </w:tc>
        <w:tc>
          <w:tcPr>
            <w:tcW w:w="996"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1 870,5</w:t>
            </w:r>
          </w:p>
        </w:tc>
        <w:tc>
          <w:tcPr>
            <w:tcW w:w="995"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5 012,8</w:t>
            </w:r>
          </w:p>
        </w:tc>
        <w:tc>
          <w:tcPr>
            <w:tcW w:w="980"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3 823,1</w:t>
            </w:r>
          </w:p>
        </w:tc>
        <w:tc>
          <w:tcPr>
            <w:tcW w:w="845" w:type="dxa"/>
            <w:tcBorders>
              <w:top w:val="single" w:sz="4" w:space="0" w:color="5B9BD5" w:themeColor="accent1"/>
              <w:left w:val="nil"/>
              <w:bottom w:val="single" w:sz="4" w:space="0" w:color="5B9BD5"/>
              <w:right w:val="single" w:sz="4" w:space="0" w:color="5B9BD5"/>
            </w:tcBorders>
            <w:shd w:val="clear" w:color="000000" w:fill="BDD7EE"/>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1 122,4</w:t>
            </w:r>
          </w:p>
        </w:tc>
        <w:tc>
          <w:tcPr>
            <w:tcW w:w="845" w:type="dxa"/>
            <w:tcBorders>
              <w:top w:val="single" w:sz="4" w:space="0" w:color="5B9BD5" w:themeColor="accent1"/>
              <w:left w:val="nil"/>
              <w:bottom w:val="single" w:sz="4" w:space="0" w:color="5B9BD5"/>
              <w:right w:val="single" w:sz="4" w:space="0" w:color="5B9BD5"/>
            </w:tcBorders>
            <w:shd w:val="clear" w:color="000000" w:fill="BDD7EE"/>
            <w:vAlign w:val="center"/>
          </w:tcPr>
          <w:p w:rsidR="00045917" w:rsidRPr="00D1550C" w:rsidRDefault="00045917" w:rsidP="00045917">
            <w:pPr>
              <w:jc w:val="center"/>
              <w:rPr>
                <w:rFonts w:cs="Calibri"/>
                <w:b/>
                <w:bCs/>
                <w:color w:val="000000"/>
                <w:sz w:val="19"/>
                <w:szCs w:val="19"/>
              </w:rPr>
            </w:pPr>
            <w:r w:rsidRPr="00D1550C">
              <w:rPr>
                <w:rFonts w:cs="Calibri"/>
                <w:b/>
                <w:bCs/>
                <w:color w:val="000000"/>
                <w:sz w:val="19"/>
                <w:szCs w:val="19"/>
              </w:rPr>
              <w:t>2 700,8</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045917">
            <w:pPr>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from abroad</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2 316,5</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221,3</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832,1</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448,9</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814,2</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1 731,5</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244,6</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448,3</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369,3</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669,2</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1 123,7</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251,6</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872,1</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045917">
            <w:pPr>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1 345,7</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1 009,7</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25,5</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-8,9</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319,5</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1 389,4</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1,4</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11,2</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-4,1</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1 380,8</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384,5</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12,3</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372,2</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045917">
            <w:pPr>
              <w:rPr>
                <w:rFonts w:asciiTheme="minorHAnsi" w:hAnsiTheme="minorHAnsi" w:cstheme="minorHAnsi"/>
                <w:color w:val="000000"/>
                <w:sz w:val="18"/>
                <w:szCs w:val="18"/>
              </w:rPr>
            </w:pPr>
            <w:r w:rsidRPr="00D1550C">
              <w:rPr>
                <w:rFonts w:asciiTheme="minorHAnsi" w:hAnsiTheme="minorHAnsi" w:cstheme="minorHAnsi"/>
                <w:color w:val="000000"/>
                <w:sz w:val="18"/>
                <w:szCs w:val="18"/>
              </w:rPr>
              <w:t>Financial derivatives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-4,3</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-0,4</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-1,7</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-0,3</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-1,8</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-6,4</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-0,3</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-1,7</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-1,1</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-3,2</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-6,2</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-3,2</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-3,0</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45917" w:rsidRPr="00D1550C" w:rsidRDefault="00045917" w:rsidP="00045917">
            <w:pPr>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5 444,0</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1 078,6</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1 112,5</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612,9</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2 640,1</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8 051,8</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1 688,2</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1 891,2</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1 506,4</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2 965,9</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2 321,2</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861,7</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1 459,4</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cBorders>
            <w:shd w:val="clear" w:color="auto" w:fill="auto"/>
            <w:vAlign w:val="center"/>
            <w:hideMark/>
          </w:tcPr>
          <w:p w:rsidR="00045917" w:rsidRPr="00D1550C" w:rsidRDefault="00045917" w:rsidP="00045917">
            <w:pPr>
              <w:ind w:left="175"/>
              <w:rPr>
                <w:rFonts w:asciiTheme="minorHAnsi" w:hAnsiTheme="minorHAnsi" w:cstheme="minorHAnsi"/>
                <w:color w:val="000000"/>
                <w:sz w:val="18"/>
                <w:szCs w:val="18"/>
              </w:rPr>
            </w:pPr>
            <w:r w:rsidRPr="00D1550C">
              <w:rPr>
                <w:rFonts w:asciiTheme="minorHAnsi" w:hAnsiTheme="minorHAnsi" w:cstheme="minorHAnsi"/>
                <w:i/>
                <w:iCs/>
                <w:color w:val="000000"/>
                <w:sz w:val="18"/>
                <w:szCs w:val="18"/>
              </w:rPr>
              <w:t xml:space="preserve">of which </w:t>
            </w:r>
          </w:p>
        </w:tc>
        <w:tc>
          <w:tcPr>
            <w:tcW w:w="987"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996"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995"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980" w:type="dxa"/>
            <w:tcBorders>
              <w:top w:val="nil"/>
              <w:left w:val="single" w:sz="4" w:space="0" w:color="5B9BD5"/>
              <w:bottom w:val="single" w:sz="4" w:space="0" w:color="5B9BD5"/>
              <w:right w:val="single" w:sz="4" w:space="0" w:color="5B9BD5"/>
            </w:tcBorders>
            <w:shd w:val="clear" w:color="auto" w:fill="auto"/>
            <w:vAlign w:val="center"/>
          </w:tcPr>
          <w:p w:rsidR="00045917" w:rsidRPr="00D1550C" w:rsidRDefault="00045917" w:rsidP="00045917">
            <w:pPr>
              <w:jc w:val="center"/>
              <w:rPr>
                <w:rFonts w:cs="Calibri"/>
                <w:color w:val="000000"/>
                <w:sz w:val="19"/>
                <w:szCs w:val="19"/>
              </w:rPr>
            </w:pPr>
          </w:p>
        </w:tc>
        <w:tc>
          <w:tcPr>
            <w:tcW w:w="845" w:type="dxa"/>
            <w:tcBorders>
              <w:top w:val="nil"/>
              <w:left w:val="single" w:sz="4" w:space="0" w:color="5B9BD5"/>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p>
        </w:tc>
        <w:tc>
          <w:tcPr>
            <w:tcW w:w="845" w:type="dxa"/>
            <w:tcBorders>
              <w:top w:val="nil"/>
              <w:left w:val="single" w:sz="4" w:space="0" w:color="5B9BD5"/>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vAlign w:val="center"/>
            <w:hideMark/>
          </w:tcPr>
          <w:p w:rsidR="00045917" w:rsidRPr="00D1550C" w:rsidRDefault="00045917" w:rsidP="00045917">
            <w:pPr>
              <w:ind w:firstLineChars="200" w:firstLine="360"/>
              <w:rPr>
                <w:rFonts w:asciiTheme="minorHAnsi" w:hAnsiTheme="minorHAnsi" w:cstheme="minorHAnsi"/>
                <w:i/>
                <w:iCs/>
                <w:color w:val="000000"/>
                <w:sz w:val="18"/>
                <w:szCs w:val="18"/>
              </w:rPr>
            </w:pPr>
            <w:r w:rsidRPr="00D1550C">
              <w:rPr>
                <w:rFonts w:asciiTheme="minorHAnsi" w:hAnsiTheme="minorHAnsi" w:cstheme="minorHAnsi"/>
                <w:i/>
                <w:iCs/>
                <w:color w:val="000000"/>
                <w:sz w:val="18"/>
                <w:szCs w:val="18"/>
              </w:rPr>
              <w:t>loans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5 866,9</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927,7</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1 577,8</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715,9</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2 645,4</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7 081,2</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1 224,8</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1 823,9</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1 318,7</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2 713,8</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1 834,7</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721,7</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1 112,9</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vAlign w:val="center"/>
            <w:hideMark/>
          </w:tcPr>
          <w:p w:rsidR="00045917" w:rsidRPr="00D1550C" w:rsidRDefault="00045917" w:rsidP="00045917">
            <w:pPr>
              <w:ind w:firstLineChars="200" w:firstLine="360"/>
              <w:rPr>
                <w:rFonts w:asciiTheme="minorHAnsi" w:hAnsiTheme="minorHAnsi" w:cstheme="minorHAnsi"/>
                <w:i/>
                <w:iCs/>
                <w:color w:val="000000"/>
                <w:sz w:val="18"/>
                <w:szCs w:val="18"/>
              </w:rPr>
            </w:pPr>
            <w:r w:rsidRPr="00D1550C">
              <w:rPr>
                <w:rFonts w:asciiTheme="minorHAnsi" w:hAnsiTheme="minorHAnsi" w:cstheme="minorHAnsi"/>
                <w:i/>
                <w:iCs/>
                <w:color w:val="000000"/>
                <w:sz w:val="18"/>
                <w:szCs w:val="18"/>
              </w:rPr>
              <w:t>trade credits and advances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-560,8</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117,2</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-597,5</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-223,6</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143,0</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568,5</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400,4</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-191,5</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135,5</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224,2</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342,4</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84,6</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257,8</w:t>
            </w:r>
          </w:p>
        </w:tc>
      </w:tr>
      <w:tr w:rsidR="00045917" w:rsidRPr="00D1550C" w:rsidTr="00415570">
        <w:trPr>
          <w:gridAfter w:val="1"/>
          <w:wAfter w:w="12" w:type="dxa"/>
          <w:trHeight w:val="227"/>
        </w:trPr>
        <w:tc>
          <w:tcPr>
            <w:tcW w:w="2835" w:type="dxa"/>
            <w:tcBorders>
              <w:top w:val="nil"/>
              <w:left w:val="single" w:sz="4" w:space="0" w:color="5B9BD5"/>
              <w:bottom w:val="single" w:sz="4" w:space="0" w:color="5B9BD5"/>
              <w:right w:val="single" w:sz="4" w:space="0" w:color="5B9BD5" w:themeColor="accent1"/>
            </w:tcBorders>
            <w:shd w:val="clear" w:color="auto" w:fill="auto"/>
            <w:vAlign w:val="center"/>
            <w:hideMark/>
          </w:tcPr>
          <w:p w:rsidR="00045917" w:rsidRPr="00D1550C" w:rsidRDefault="00045917" w:rsidP="00045917">
            <w:pPr>
              <w:ind w:firstLineChars="200" w:firstLine="360"/>
              <w:rPr>
                <w:rFonts w:asciiTheme="minorHAnsi" w:hAnsiTheme="minorHAnsi" w:cstheme="minorHAnsi"/>
                <w:i/>
                <w:iCs/>
                <w:color w:val="000000"/>
                <w:sz w:val="18"/>
                <w:szCs w:val="18"/>
              </w:rPr>
            </w:pPr>
            <w:r w:rsidRPr="00D1550C">
              <w:rPr>
                <w:rFonts w:asciiTheme="minorHAnsi" w:hAnsiTheme="minorHAnsi" w:cstheme="minorHAnsi"/>
                <w:i/>
                <w:iCs/>
                <w:color w:val="000000"/>
                <w:sz w:val="18"/>
                <w:szCs w:val="18"/>
              </w:rPr>
              <w:t>other payables</w:t>
            </w:r>
          </w:p>
        </w:tc>
        <w:tc>
          <w:tcPr>
            <w:tcW w:w="9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80,4</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61,0</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111,7</w:t>
            </w:r>
          </w:p>
        </w:tc>
        <w:tc>
          <w:tcPr>
            <w:tcW w:w="851"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94,7</w:t>
            </w:r>
          </w:p>
        </w:tc>
        <w:tc>
          <w:tcPr>
            <w:tcW w:w="85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-187,0</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201,1</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43,8</w:t>
            </w:r>
          </w:p>
        </w:tc>
        <w:tc>
          <w:tcPr>
            <w:tcW w:w="998"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238,2</w:t>
            </w:r>
          </w:p>
        </w:tc>
        <w:tc>
          <w:tcPr>
            <w:tcW w:w="996"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-12,5</w:t>
            </w:r>
          </w:p>
        </w:tc>
        <w:tc>
          <w:tcPr>
            <w:tcW w:w="995"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-68,5</w:t>
            </w:r>
          </w:p>
        </w:tc>
        <w:tc>
          <w:tcPr>
            <w:tcW w:w="980" w:type="dxa"/>
            <w:tcBorders>
              <w:top w:val="nil"/>
              <w:left w:val="nil"/>
              <w:bottom w:val="single" w:sz="4" w:space="0" w:color="5B9BD5"/>
              <w:right w:val="single" w:sz="4" w:space="0" w:color="5B9BD5"/>
            </w:tcBorders>
            <w:shd w:val="clear" w:color="auto" w:fill="auto"/>
            <w:noWrap/>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148,4</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70,7</w:t>
            </w:r>
          </w:p>
        </w:tc>
        <w:tc>
          <w:tcPr>
            <w:tcW w:w="845" w:type="dxa"/>
            <w:tcBorders>
              <w:top w:val="nil"/>
              <w:left w:val="nil"/>
              <w:bottom w:val="single" w:sz="4" w:space="0" w:color="5B9BD5"/>
              <w:right w:val="single" w:sz="4" w:space="0" w:color="5B9BD5"/>
            </w:tcBorders>
            <w:vAlign w:val="center"/>
          </w:tcPr>
          <w:p w:rsidR="00045917" w:rsidRPr="00D1550C" w:rsidRDefault="00045917" w:rsidP="00045917">
            <w:pPr>
              <w:jc w:val="center"/>
              <w:rPr>
                <w:rFonts w:cs="Calibri"/>
                <w:color w:val="000000"/>
                <w:sz w:val="19"/>
                <w:szCs w:val="19"/>
              </w:rPr>
            </w:pPr>
            <w:r w:rsidRPr="00D1550C">
              <w:rPr>
                <w:rFonts w:cs="Calibri"/>
                <w:color w:val="000000"/>
                <w:sz w:val="19"/>
                <w:szCs w:val="19"/>
              </w:rPr>
              <w:t>77,7</w:t>
            </w:r>
          </w:p>
        </w:tc>
      </w:tr>
    </w:tbl>
    <w:p w:rsidR="00D6442D" w:rsidRPr="00D1550C" w:rsidRDefault="00D6442D" w:rsidP="00D6442D">
      <w:pPr>
        <w:tabs>
          <w:tab w:val="left" w:pos="1560"/>
        </w:tabs>
        <w:spacing w:before="120" w:line="288" w:lineRule="auto"/>
        <w:ind w:firstLine="709"/>
        <w:jc w:val="both"/>
        <w:rPr>
          <w:sz w:val="26"/>
          <w:szCs w:val="26"/>
          <w:highlight w:val="yellow"/>
        </w:rPr>
        <w:sectPr w:rsidR="00D6442D" w:rsidRPr="00D1550C" w:rsidSect="00A00A1D">
          <w:pgSz w:w="16838" w:h="11906" w:orient="landscape" w:code="9"/>
          <w:pgMar w:top="851" w:right="851" w:bottom="1134" w:left="1134" w:header="709" w:footer="0" w:gutter="0"/>
          <w:cols w:space="708"/>
          <w:titlePg/>
          <w:docGrid w:linePitch="360"/>
        </w:sectPr>
      </w:pPr>
    </w:p>
    <w:p w:rsidR="00C92924" w:rsidRPr="00D1550C" w:rsidRDefault="00C92924" w:rsidP="00C92924">
      <w:pPr>
        <w:tabs>
          <w:tab w:val="left" w:pos="1560"/>
        </w:tabs>
        <w:spacing w:before="120" w:line="288" w:lineRule="auto"/>
        <w:ind w:firstLine="709"/>
        <w:jc w:val="both"/>
        <w:rPr>
          <w:sz w:val="26"/>
          <w:szCs w:val="26"/>
          <w:highlight w:val="yellow"/>
        </w:rPr>
      </w:pPr>
    </w:p>
    <w:p w:rsidR="002F68DF" w:rsidRPr="00D1550C" w:rsidRDefault="002F68DF" w:rsidP="00C92924">
      <w:pPr>
        <w:tabs>
          <w:tab w:val="left" w:pos="1560"/>
        </w:tabs>
        <w:spacing w:before="120" w:line="288" w:lineRule="auto"/>
        <w:ind w:firstLine="709"/>
        <w:jc w:val="both"/>
        <w:rPr>
          <w:sz w:val="26"/>
          <w:szCs w:val="26"/>
          <w:highlight w:val="yellow"/>
        </w:rPr>
        <w:sectPr w:rsidR="002F68DF" w:rsidRPr="00D1550C" w:rsidSect="00710D78">
          <w:pgSz w:w="11906" w:h="16838" w:code="9"/>
          <w:pgMar w:top="1134" w:right="851" w:bottom="851" w:left="1134" w:header="709" w:footer="0" w:gutter="0"/>
          <w:cols w:space="708"/>
          <w:titlePg/>
          <w:docGrid w:linePitch="360"/>
        </w:sectPr>
      </w:pPr>
    </w:p>
    <w:p w:rsidR="00655C2A" w:rsidRPr="00D1550C" w:rsidRDefault="00613F69" w:rsidP="00B447CB">
      <w:pPr>
        <w:pStyle w:val="21"/>
        <w:spacing w:before="0"/>
        <w:ind w:left="709"/>
        <w:rPr>
          <w:rFonts w:ascii="Calibri" w:hAnsi="Calibri"/>
          <w:lang w:val="en-US"/>
        </w:rPr>
      </w:pPr>
      <w:bookmarkStart w:id="10" w:name="_Toc83291120"/>
      <w:r w:rsidRPr="00D1550C">
        <w:rPr>
          <w:rFonts w:ascii="Calibri" w:hAnsi="Calibri"/>
          <w:lang w:val="en-US"/>
        </w:rPr>
        <w:lastRenderedPageBreak/>
        <w:t>DIRECT AND PORTFOLIO INVESTMENT</w:t>
      </w:r>
      <w:bookmarkEnd w:id="10"/>
    </w:p>
    <w:p w:rsidR="00524731" w:rsidRPr="00D1550C" w:rsidRDefault="00524731" w:rsidP="009C2708">
      <w:pPr>
        <w:spacing w:before="120" w:line="288" w:lineRule="auto"/>
        <w:ind w:firstLine="709"/>
        <w:jc w:val="both"/>
        <w:rPr>
          <w:sz w:val="26"/>
          <w:szCs w:val="26"/>
        </w:rPr>
      </w:pPr>
      <w:r w:rsidRPr="00D1550C">
        <w:rPr>
          <w:sz w:val="26"/>
          <w:szCs w:val="26"/>
        </w:rPr>
        <w:t xml:space="preserve">During the </w:t>
      </w:r>
      <w:r w:rsidR="003330E7" w:rsidRPr="00D1550C">
        <w:rPr>
          <w:sz w:val="26"/>
          <w:szCs w:val="26"/>
        </w:rPr>
        <w:t>2</w:t>
      </w:r>
      <w:r w:rsidR="003330E7" w:rsidRPr="00D1550C">
        <w:rPr>
          <w:sz w:val="26"/>
          <w:szCs w:val="26"/>
          <w:vertAlign w:val="superscript"/>
        </w:rPr>
        <w:t>nd</w:t>
      </w:r>
      <w:r w:rsidR="003330E7" w:rsidRPr="00D1550C">
        <w:rPr>
          <w:sz w:val="26"/>
          <w:szCs w:val="26"/>
        </w:rPr>
        <w:t xml:space="preserve"> quarter</w:t>
      </w:r>
      <w:r w:rsidR="009C2708" w:rsidRPr="00D1550C">
        <w:rPr>
          <w:sz w:val="26"/>
          <w:szCs w:val="26"/>
        </w:rPr>
        <w:t xml:space="preserve"> of 2021 net inflow of foreign direc</w:t>
      </w:r>
      <w:r w:rsidRPr="00D1550C">
        <w:rPr>
          <w:sz w:val="26"/>
          <w:szCs w:val="26"/>
        </w:rPr>
        <w:t xml:space="preserve">t investment amounted to </w:t>
      </w:r>
      <w:r w:rsidRPr="00D1550C">
        <w:rPr>
          <w:sz w:val="26"/>
          <w:szCs w:val="26"/>
        </w:rPr>
        <w:br/>
        <w:t xml:space="preserve">USD </w:t>
      </w:r>
      <w:r w:rsidR="00ED21C1" w:rsidRPr="00D1550C">
        <w:rPr>
          <w:sz w:val="26"/>
          <w:szCs w:val="26"/>
        </w:rPr>
        <w:t>872.</w:t>
      </w:r>
      <w:r w:rsidR="000D5516" w:rsidRPr="00D1550C">
        <w:rPr>
          <w:sz w:val="26"/>
          <w:szCs w:val="26"/>
        </w:rPr>
        <w:t>1</w:t>
      </w:r>
      <w:r w:rsidRPr="00D1550C">
        <w:rPr>
          <w:sz w:val="26"/>
          <w:szCs w:val="26"/>
        </w:rPr>
        <w:t xml:space="preserve"> million</w:t>
      </w:r>
      <w:r w:rsidR="009C2708" w:rsidRPr="00D1550C">
        <w:rPr>
          <w:sz w:val="26"/>
          <w:szCs w:val="26"/>
        </w:rPr>
        <w:t xml:space="preserve">. </w:t>
      </w:r>
      <w:r w:rsidRPr="00D1550C">
        <w:rPr>
          <w:sz w:val="26"/>
          <w:szCs w:val="26"/>
        </w:rPr>
        <w:t xml:space="preserve">This sharp increase was mainly due to an increase in net investment </w:t>
      </w:r>
      <w:r w:rsidR="003330E7" w:rsidRPr="00D1550C">
        <w:rPr>
          <w:sz w:val="26"/>
          <w:szCs w:val="26"/>
        </w:rPr>
        <w:t>in capital by USD 521</w:t>
      </w:r>
      <w:r w:rsidR="00CE39E7" w:rsidRPr="00D1550C">
        <w:rPr>
          <w:sz w:val="26"/>
          <w:szCs w:val="26"/>
        </w:rPr>
        <w:t>.</w:t>
      </w:r>
      <w:r w:rsidR="003330E7" w:rsidRPr="00D1550C">
        <w:rPr>
          <w:sz w:val="26"/>
          <w:szCs w:val="26"/>
        </w:rPr>
        <w:t>4 million, reinvestment of income by USD 216</w:t>
      </w:r>
      <w:r w:rsidR="00CE39E7" w:rsidRPr="00D1550C">
        <w:rPr>
          <w:sz w:val="26"/>
          <w:szCs w:val="26"/>
        </w:rPr>
        <w:t>.</w:t>
      </w:r>
      <w:r w:rsidR="003330E7" w:rsidRPr="00D1550C">
        <w:rPr>
          <w:sz w:val="26"/>
          <w:szCs w:val="26"/>
        </w:rPr>
        <w:t xml:space="preserve">9 million, and net increase </w:t>
      </w:r>
      <w:r w:rsidR="00183A50" w:rsidRPr="00D1550C">
        <w:rPr>
          <w:sz w:val="26"/>
          <w:szCs w:val="26"/>
        </w:rPr>
        <w:t>of</w:t>
      </w:r>
      <w:r w:rsidR="003330E7" w:rsidRPr="00D1550C">
        <w:rPr>
          <w:sz w:val="26"/>
          <w:szCs w:val="26"/>
        </w:rPr>
        <w:t xml:space="preserve"> liablities </w:t>
      </w:r>
      <w:r w:rsidR="00EB213A" w:rsidRPr="00D1550C">
        <w:rPr>
          <w:sz w:val="26"/>
          <w:szCs w:val="26"/>
        </w:rPr>
        <w:t xml:space="preserve">due to borrowings </w:t>
      </w:r>
      <w:r w:rsidR="003330E7" w:rsidRPr="00D1550C">
        <w:rPr>
          <w:sz w:val="26"/>
          <w:szCs w:val="26"/>
        </w:rPr>
        <w:t>from parent companies by USD 148</w:t>
      </w:r>
      <w:r w:rsidR="003A5429" w:rsidRPr="00D1550C">
        <w:rPr>
          <w:sz w:val="26"/>
          <w:szCs w:val="26"/>
        </w:rPr>
        <w:t>.</w:t>
      </w:r>
      <w:r w:rsidR="003330E7" w:rsidRPr="00D1550C">
        <w:rPr>
          <w:sz w:val="26"/>
          <w:szCs w:val="26"/>
        </w:rPr>
        <w:t xml:space="preserve">4 millon. </w:t>
      </w:r>
    </w:p>
    <w:p w:rsidR="00304DAF" w:rsidRPr="00D1550C" w:rsidRDefault="003330E7" w:rsidP="00EF090B">
      <w:pPr>
        <w:spacing w:before="120" w:line="288" w:lineRule="auto"/>
        <w:ind w:firstLine="709"/>
        <w:jc w:val="both"/>
        <w:rPr>
          <w:sz w:val="26"/>
          <w:szCs w:val="26"/>
        </w:rPr>
      </w:pPr>
      <w:r w:rsidRPr="00D1550C">
        <w:rPr>
          <w:sz w:val="26"/>
          <w:szCs w:val="26"/>
        </w:rPr>
        <w:t>As a result, during the 1</w:t>
      </w:r>
      <w:r w:rsidRPr="00D1550C">
        <w:rPr>
          <w:sz w:val="26"/>
          <w:szCs w:val="26"/>
          <w:vertAlign w:val="superscript"/>
        </w:rPr>
        <w:t>st</w:t>
      </w:r>
      <w:r w:rsidRPr="00D1550C">
        <w:rPr>
          <w:sz w:val="26"/>
          <w:szCs w:val="26"/>
        </w:rPr>
        <w:t xml:space="preserve"> half of 2021 net inflow of foreign direct investment increased by 62% compare to </w:t>
      </w:r>
      <w:r w:rsidR="003F3F92" w:rsidRPr="00D1550C">
        <w:rPr>
          <w:sz w:val="26"/>
          <w:szCs w:val="26"/>
        </w:rPr>
        <w:t>corresponding</w:t>
      </w:r>
      <w:r w:rsidRPr="00D1550C">
        <w:rPr>
          <w:sz w:val="26"/>
          <w:szCs w:val="26"/>
        </w:rPr>
        <w:t xml:space="preserve"> period of </w:t>
      </w:r>
      <w:r w:rsidR="00EF090B" w:rsidRPr="00D1550C">
        <w:rPr>
          <w:sz w:val="26"/>
          <w:szCs w:val="26"/>
        </w:rPr>
        <w:t xml:space="preserve">the </w:t>
      </w:r>
      <w:r w:rsidR="003F3F92" w:rsidRPr="00D1550C">
        <w:rPr>
          <w:sz w:val="26"/>
          <w:szCs w:val="26"/>
        </w:rPr>
        <w:t xml:space="preserve">previous year </w:t>
      </w:r>
      <w:r w:rsidRPr="00D1550C">
        <w:rPr>
          <w:sz w:val="26"/>
          <w:szCs w:val="26"/>
        </w:rPr>
        <w:t xml:space="preserve">and amounted to </w:t>
      </w:r>
      <w:r w:rsidR="005A3F1D" w:rsidRPr="00D1550C">
        <w:rPr>
          <w:sz w:val="26"/>
          <w:szCs w:val="26"/>
        </w:rPr>
        <w:br/>
      </w:r>
      <w:r w:rsidRPr="00D1550C">
        <w:rPr>
          <w:sz w:val="26"/>
          <w:szCs w:val="26"/>
        </w:rPr>
        <w:t>USD 1</w:t>
      </w:r>
      <w:r w:rsidR="00295C74" w:rsidRPr="00D1550C">
        <w:rPr>
          <w:sz w:val="26"/>
          <w:szCs w:val="26"/>
        </w:rPr>
        <w:t>.</w:t>
      </w:r>
      <w:r w:rsidRPr="00D1550C">
        <w:rPr>
          <w:sz w:val="26"/>
          <w:szCs w:val="26"/>
        </w:rPr>
        <w:t xml:space="preserve">1 billion. </w:t>
      </w:r>
      <w:r w:rsidR="0021683F" w:rsidRPr="00D1550C">
        <w:rPr>
          <w:sz w:val="26"/>
          <w:szCs w:val="26"/>
        </w:rPr>
        <w:t xml:space="preserve">At </w:t>
      </w:r>
      <w:r w:rsidR="00183A50" w:rsidRPr="00D1550C">
        <w:rPr>
          <w:sz w:val="26"/>
          <w:szCs w:val="26"/>
        </w:rPr>
        <w:t>the same</w:t>
      </w:r>
      <w:r w:rsidR="0021683F" w:rsidRPr="00D1550C">
        <w:rPr>
          <w:sz w:val="26"/>
          <w:szCs w:val="26"/>
        </w:rPr>
        <w:t xml:space="preserve"> time, </w:t>
      </w:r>
      <w:r w:rsidR="002306C0" w:rsidRPr="00D1550C">
        <w:rPr>
          <w:sz w:val="26"/>
          <w:szCs w:val="26"/>
        </w:rPr>
        <w:t xml:space="preserve">the volume of foreign direct investment amounted to </w:t>
      </w:r>
      <w:r w:rsidR="00785488" w:rsidRPr="00D1550C">
        <w:rPr>
          <w:sz w:val="26"/>
          <w:szCs w:val="26"/>
        </w:rPr>
        <w:br/>
      </w:r>
      <w:r w:rsidR="002306C0" w:rsidRPr="00D1550C">
        <w:rPr>
          <w:sz w:val="26"/>
          <w:szCs w:val="26"/>
        </w:rPr>
        <w:t>USD 1</w:t>
      </w:r>
      <w:r w:rsidR="00CF0AB2" w:rsidRPr="00D1550C">
        <w:rPr>
          <w:sz w:val="26"/>
          <w:szCs w:val="26"/>
        </w:rPr>
        <w:t>.</w:t>
      </w:r>
      <w:r w:rsidR="00183A50" w:rsidRPr="00D1550C">
        <w:rPr>
          <w:sz w:val="26"/>
          <w:szCs w:val="26"/>
        </w:rPr>
        <w:t xml:space="preserve">5 billion, and </w:t>
      </w:r>
      <w:r w:rsidR="002306C0" w:rsidRPr="00D1550C">
        <w:rPr>
          <w:sz w:val="26"/>
          <w:szCs w:val="26"/>
        </w:rPr>
        <w:t>repatriation amounted to USD</w:t>
      </w:r>
      <w:r w:rsidR="00EF090B" w:rsidRPr="00D1550C">
        <w:rPr>
          <w:sz w:val="26"/>
          <w:szCs w:val="26"/>
        </w:rPr>
        <w:t xml:space="preserve"> 384 mill</w:t>
      </w:r>
      <w:r w:rsidR="006F4541" w:rsidRPr="00D1550C">
        <w:rPr>
          <w:sz w:val="26"/>
          <w:szCs w:val="26"/>
        </w:rPr>
        <w:t>i</w:t>
      </w:r>
      <w:r w:rsidR="00EF090B" w:rsidRPr="00D1550C">
        <w:rPr>
          <w:sz w:val="26"/>
          <w:szCs w:val="26"/>
        </w:rPr>
        <w:t>on</w:t>
      </w:r>
      <w:r w:rsidR="009C2708" w:rsidRPr="00D1550C">
        <w:rPr>
          <w:rFonts w:cs="Calibri"/>
          <w:color w:val="0070C0"/>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4</w:t>
      </w:r>
      <w:r w:rsidR="005906C1" w:rsidRPr="00D1550C">
        <w:rPr>
          <w:rFonts w:cs="Calibri"/>
          <w:color w:val="0070C0"/>
          <w:sz w:val="26"/>
          <w:szCs w:val="26"/>
        </w:rPr>
        <w:t>).</w:t>
      </w:r>
      <w:r w:rsidR="00304DAF" w:rsidRPr="00D1550C">
        <w:rPr>
          <w:sz w:val="26"/>
          <w:szCs w:val="26"/>
        </w:rPr>
        <w:t xml:space="preserve"> </w:t>
      </w:r>
    </w:p>
    <w:p w:rsidR="00147844" w:rsidRPr="00D1550C" w:rsidRDefault="00147844" w:rsidP="00E7024F">
      <w:pPr>
        <w:jc w:val="right"/>
      </w:pPr>
    </w:p>
    <w:p w:rsidR="00655C2A" w:rsidRPr="00D1550C" w:rsidRDefault="00B23450" w:rsidP="00E7024F">
      <w:pPr>
        <w:jc w:val="right"/>
      </w:pPr>
      <w:r w:rsidRPr="00D1550C">
        <w:t>Figure</w:t>
      </w:r>
      <w:r w:rsidR="00785AF4" w:rsidRPr="00D1550C">
        <w:t xml:space="preserve"> 1</w:t>
      </w:r>
      <w:r w:rsidR="00804478" w:rsidRPr="00D1550C">
        <w:t>4</w:t>
      </w:r>
    </w:p>
    <w:p w:rsidR="003F284B" w:rsidRPr="00D1550C" w:rsidRDefault="006A6A2D" w:rsidP="005906C1">
      <w:pPr>
        <w:spacing w:before="120" w:after="120"/>
        <w:jc w:val="center"/>
        <w:rPr>
          <w:b/>
          <w:sz w:val="28"/>
          <w:szCs w:val="28"/>
        </w:rPr>
      </w:pPr>
      <w:r w:rsidRPr="00D1550C">
        <w:rPr>
          <w:b/>
          <w:sz w:val="28"/>
          <w:szCs w:val="28"/>
        </w:rPr>
        <w:t>CHANGE IN DIRECT INVESTMENT COMPONENTS</w:t>
      </w:r>
      <w:r w:rsidR="0029212E" w:rsidRPr="00D1550C">
        <w:rPr>
          <w:rStyle w:val="a9"/>
          <w:sz w:val="28"/>
          <w:szCs w:val="28"/>
        </w:rPr>
        <w:footnoteReference w:id="2"/>
      </w:r>
    </w:p>
    <w:p w:rsidR="003F284B" w:rsidRPr="00D1550C" w:rsidRDefault="003F284B" w:rsidP="003F284B">
      <w:pPr>
        <w:jc w:val="right"/>
        <w:rPr>
          <w:i/>
          <w:sz w:val="20"/>
          <w:szCs w:val="20"/>
        </w:rPr>
      </w:pPr>
      <w:r w:rsidRPr="00D1550C">
        <w:rPr>
          <w:i/>
          <w:sz w:val="20"/>
          <w:szCs w:val="20"/>
        </w:rPr>
        <w:t>(</w:t>
      </w:r>
      <w:r w:rsidR="005B43E3" w:rsidRPr="00D1550C">
        <w:rPr>
          <w:i/>
          <w:sz w:val="20"/>
          <w:szCs w:val="20"/>
        </w:rPr>
        <w:t>mln. USD</w:t>
      </w:r>
      <w:r w:rsidRPr="00D1550C">
        <w:rPr>
          <w:i/>
          <w:sz w:val="20"/>
          <w:szCs w:val="20"/>
        </w:rPr>
        <w:t>)</w:t>
      </w:r>
    </w:p>
    <w:p w:rsidR="00EC3A30" w:rsidRPr="00D1550C" w:rsidRDefault="00045917" w:rsidP="00F45A80">
      <w:pPr>
        <w:jc w:val="right"/>
        <w:rPr>
          <w:sz w:val="2"/>
          <w:szCs w:val="2"/>
        </w:rPr>
      </w:pPr>
      <w:r w:rsidRPr="00D1550C">
        <w:rPr>
          <w:noProof/>
          <w:lang w:val="ru-RU"/>
        </w:rPr>
        <w:drawing>
          <wp:inline distT="0" distB="0" distL="0" distR="0" wp14:anchorId="15F075EF" wp14:editId="55B06839">
            <wp:extent cx="6471920" cy="3859618"/>
            <wp:effectExtent l="0" t="0" r="5080" b="7620"/>
            <wp:docPr id="20" name="Диаграмма 2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C2708" w:rsidRPr="00D1550C" w:rsidRDefault="009C2708" w:rsidP="00D6672D">
      <w:pPr>
        <w:spacing w:before="120" w:line="288" w:lineRule="auto"/>
        <w:ind w:firstLine="709"/>
        <w:jc w:val="both"/>
        <w:rPr>
          <w:sz w:val="26"/>
          <w:szCs w:val="26"/>
        </w:rPr>
      </w:pPr>
      <w:bookmarkStart w:id="11" w:name="_Toc4780088"/>
      <w:r w:rsidRPr="00D1550C">
        <w:rPr>
          <w:sz w:val="26"/>
          <w:szCs w:val="26"/>
        </w:rPr>
        <w:t>The negative balance of portfolio investme</w:t>
      </w:r>
      <w:r w:rsidR="001D7D8A" w:rsidRPr="00D1550C">
        <w:rPr>
          <w:sz w:val="26"/>
          <w:szCs w:val="26"/>
        </w:rPr>
        <w:t>nts in the second quarter of 2021 amounted to 372.2</w:t>
      </w:r>
      <w:r w:rsidRPr="00D1550C">
        <w:rPr>
          <w:sz w:val="26"/>
          <w:szCs w:val="26"/>
        </w:rPr>
        <w:t xml:space="preserve"> mln. dollars. This is due to international bonds </w:t>
      </w:r>
      <w:r w:rsidR="005404F1" w:rsidRPr="00D1550C">
        <w:rPr>
          <w:sz w:val="26"/>
          <w:szCs w:val="26"/>
        </w:rPr>
        <w:t xml:space="preserve">which </w:t>
      </w:r>
      <w:r w:rsidR="00334A00">
        <w:rPr>
          <w:sz w:val="26"/>
          <w:szCs w:val="26"/>
        </w:rPr>
        <w:t>were</w:t>
      </w:r>
      <w:r w:rsidR="005404F1" w:rsidRPr="00D1550C">
        <w:rPr>
          <w:sz w:val="26"/>
          <w:szCs w:val="26"/>
        </w:rPr>
        <w:t xml:space="preserve"> placed in international financial markets</w:t>
      </w:r>
      <w:r w:rsidRPr="00D1550C">
        <w:rPr>
          <w:sz w:val="26"/>
          <w:szCs w:val="26"/>
        </w:rPr>
        <w:t xml:space="preserve"> by the </w:t>
      </w:r>
      <w:r w:rsidR="001D7D8A" w:rsidRPr="00D1550C">
        <w:rPr>
          <w:sz w:val="26"/>
          <w:szCs w:val="26"/>
        </w:rPr>
        <w:t>Ipoteka bank (international bonds worth UZS 785</w:t>
      </w:r>
      <w:r w:rsidRPr="00D1550C">
        <w:rPr>
          <w:sz w:val="26"/>
          <w:szCs w:val="26"/>
        </w:rPr>
        <w:t xml:space="preserve"> billion</w:t>
      </w:r>
      <w:r w:rsidR="001D7D8A" w:rsidRPr="00D1550C">
        <w:rPr>
          <w:sz w:val="26"/>
          <w:szCs w:val="26"/>
        </w:rPr>
        <w:t xml:space="preserve"> for a period of 3 years</w:t>
      </w:r>
      <w:r w:rsidRPr="00D1550C">
        <w:rPr>
          <w:sz w:val="26"/>
          <w:szCs w:val="26"/>
        </w:rPr>
        <w:t xml:space="preserve">) and </w:t>
      </w:r>
      <w:r w:rsidR="001D7D8A" w:rsidRPr="00D1550C">
        <w:rPr>
          <w:sz w:val="26"/>
          <w:szCs w:val="26"/>
        </w:rPr>
        <w:t xml:space="preserve">“UZAUTO MOTORS” </w:t>
      </w:r>
      <w:r w:rsidRPr="00D1550C">
        <w:rPr>
          <w:sz w:val="26"/>
          <w:szCs w:val="26"/>
        </w:rPr>
        <w:t>(</w:t>
      </w:r>
      <w:r w:rsidR="00FF53ED" w:rsidRPr="00D1550C">
        <w:rPr>
          <w:sz w:val="26"/>
          <w:szCs w:val="26"/>
        </w:rPr>
        <w:t>international bonds worth USD</w:t>
      </w:r>
      <w:r w:rsidR="001D7D8A" w:rsidRPr="00D1550C">
        <w:rPr>
          <w:sz w:val="26"/>
          <w:szCs w:val="26"/>
        </w:rPr>
        <w:t xml:space="preserve"> 300</w:t>
      </w:r>
      <w:r w:rsidR="00DD4CAB" w:rsidRPr="00D1550C">
        <w:rPr>
          <w:sz w:val="26"/>
          <w:szCs w:val="26"/>
        </w:rPr>
        <w:t xml:space="preserve"> m</w:t>
      </w:r>
      <w:r w:rsidR="001D7D8A" w:rsidRPr="00D1550C">
        <w:rPr>
          <w:sz w:val="26"/>
          <w:szCs w:val="26"/>
        </w:rPr>
        <w:t>illion for a period of 5 years</w:t>
      </w:r>
      <w:r w:rsidR="00F26566" w:rsidRPr="00D1550C">
        <w:rPr>
          <w:sz w:val="26"/>
          <w:szCs w:val="26"/>
        </w:rPr>
        <w:t xml:space="preserve">) and interest accrued on international bonds issued in previous years. </w:t>
      </w:r>
    </w:p>
    <w:p w:rsidR="00C75899" w:rsidRPr="00D1550C" w:rsidRDefault="00C75899" w:rsidP="00334A00">
      <w:pPr>
        <w:spacing w:before="120"/>
        <w:ind w:firstLine="709"/>
        <w:jc w:val="both"/>
        <w:rPr>
          <w:sz w:val="26"/>
          <w:szCs w:val="26"/>
        </w:rPr>
      </w:pPr>
      <w:r w:rsidRPr="00D1550C">
        <w:rPr>
          <w:sz w:val="26"/>
          <w:szCs w:val="26"/>
        </w:rPr>
        <w:lastRenderedPageBreak/>
        <w:t xml:space="preserve">As a result, at the end of the 1st half of 2021, </w:t>
      </w:r>
      <w:r w:rsidR="00CF4337" w:rsidRPr="00D1550C">
        <w:rPr>
          <w:sz w:val="26"/>
          <w:szCs w:val="26"/>
        </w:rPr>
        <w:t>the</w:t>
      </w:r>
      <w:r w:rsidR="00E12737" w:rsidRPr="00D1550C">
        <w:rPr>
          <w:sz w:val="26"/>
          <w:szCs w:val="26"/>
        </w:rPr>
        <w:t xml:space="preserve"> net</w:t>
      </w:r>
      <w:r w:rsidR="00CF4337" w:rsidRPr="00D1550C">
        <w:rPr>
          <w:sz w:val="26"/>
          <w:szCs w:val="26"/>
        </w:rPr>
        <w:t xml:space="preserve"> </w:t>
      </w:r>
      <w:r w:rsidRPr="00D1550C">
        <w:rPr>
          <w:sz w:val="26"/>
          <w:szCs w:val="26"/>
        </w:rPr>
        <w:t xml:space="preserve">balance of portfolio investment </w:t>
      </w:r>
      <w:r w:rsidR="00CF4337" w:rsidRPr="00D1550C">
        <w:rPr>
          <w:sz w:val="26"/>
          <w:szCs w:val="26"/>
        </w:rPr>
        <w:t>transactions was</w:t>
      </w:r>
      <w:r w:rsidR="00E12737" w:rsidRPr="00D1550C">
        <w:rPr>
          <w:sz w:val="26"/>
          <w:szCs w:val="26"/>
        </w:rPr>
        <w:t xml:space="preserve"> </w:t>
      </w:r>
      <w:r w:rsidR="00CF4337" w:rsidRPr="00D1550C">
        <w:rPr>
          <w:sz w:val="26"/>
          <w:szCs w:val="26"/>
        </w:rPr>
        <w:t xml:space="preserve">negative and </w:t>
      </w:r>
      <w:r w:rsidRPr="00D1550C">
        <w:rPr>
          <w:sz w:val="26"/>
          <w:szCs w:val="26"/>
        </w:rPr>
        <w:t>amounted to USD 384</w:t>
      </w:r>
      <w:r w:rsidR="000D0F86" w:rsidRPr="00D1550C">
        <w:rPr>
          <w:sz w:val="26"/>
          <w:szCs w:val="26"/>
        </w:rPr>
        <w:t>.</w:t>
      </w:r>
      <w:r w:rsidRPr="00D1550C">
        <w:rPr>
          <w:sz w:val="26"/>
          <w:szCs w:val="26"/>
        </w:rPr>
        <w:t>5 millon.</w:t>
      </w:r>
    </w:p>
    <w:p w:rsidR="003F284B" w:rsidRPr="00D1550C" w:rsidRDefault="00B81616" w:rsidP="003F284B">
      <w:pPr>
        <w:pStyle w:val="21"/>
        <w:rPr>
          <w:rFonts w:ascii="Calibri" w:hAnsi="Calibri"/>
          <w:lang w:val="en-US"/>
        </w:rPr>
      </w:pPr>
      <w:bookmarkStart w:id="12" w:name="_Toc83291121"/>
      <w:r w:rsidRPr="00D1550C">
        <w:rPr>
          <w:rFonts w:ascii="Calibri" w:hAnsi="Calibri"/>
          <w:lang w:val="en-US"/>
        </w:rPr>
        <w:t>OTHER INVESTMENTS</w:t>
      </w:r>
      <w:bookmarkEnd w:id="11"/>
      <w:bookmarkEnd w:id="12"/>
    </w:p>
    <w:p w:rsidR="00BE2184" w:rsidRPr="00D1550C" w:rsidRDefault="00BE2184" w:rsidP="00BE2184">
      <w:pPr>
        <w:spacing w:before="120" w:line="288" w:lineRule="auto"/>
        <w:ind w:firstLine="709"/>
        <w:jc w:val="both"/>
        <w:rPr>
          <w:sz w:val="26"/>
          <w:szCs w:val="26"/>
          <w:u w:val="single"/>
        </w:rPr>
      </w:pPr>
      <w:r w:rsidRPr="00D1550C">
        <w:rPr>
          <w:sz w:val="26"/>
          <w:szCs w:val="26"/>
          <w:u w:val="single"/>
        </w:rPr>
        <w:t>Assets</w:t>
      </w:r>
    </w:p>
    <w:p w:rsidR="00DB28B4" w:rsidRPr="00D1550C" w:rsidRDefault="00DB28B4" w:rsidP="00DB28B4">
      <w:pPr>
        <w:spacing w:before="120" w:line="288" w:lineRule="auto"/>
        <w:ind w:firstLine="709"/>
        <w:jc w:val="both"/>
        <w:rPr>
          <w:sz w:val="26"/>
          <w:szCs w:val="26"/>
          <w:u w:val="single"/>
        </w:rPr>
      </w:pPr>
      <w:r w:rsidRPr="00D1550C">
        <w:rPr>
          <w:sz w:val="26"/>
          <w:szCs w:val="26"/>
        </w:rPr>
        <w:t xml:space="preserve">Net increase of assets in the </w:t>
      </w:r>
      <w:r w:rsidR="00D075DC" w:rsidRPr="00D1550C">
        <w:rPr>
          <w:sz w:val="26"/>
          <w:szCs w:val="26"/>
        </w:rPr>
        <w:t>component</w:t>
      </w:r>
      <w:r w:rsidRPr="00D1550C">
        <w:rPr>
          <w:sz w:val="26"/>
          <w:szCs w:val="26"/>
        </w:rPr>
        <w:t xml:space="preserve"> «Other investments»</w:t>
      </w:r>
      <w:r w:rsidR="008544F1" w:rsidRPr="00D1550C">
        <w:rPr>
          <w:sz w:val="26"/>
          <w:szCs w:val="26"/>
        </w:rPr>
        <w:t xml:space="preserve"> amounted to USD 982</w:t>
      </w:r>
      <w:r w:rsidRPr="00D1550C">
        <w:rPr>
          <w:sz w:val="26"/>
          <w:szCs w:val="26"/>
        </w:rPr>
        <w:t xml:space="preserve">.1 million </w:t>
      </w:r>
      <w:r w:rsidR="00D075DC" w:rsidRPr="00D1550C">
        <w:rPr>
          <w:sz w:val="26"/>
          <w:szCs w:val="26"/>
        </w:rPr>
        <w:t>for</w:t>
      </w:r>
      <w:r w:rsidRPr="00D1550C">
        <w:rPr>
          <w:sz w:val="26"/>
          <w:szCs w:val="26"/>
        </w:rPr>
        <w:t xml:space="preserve"> the 1</w:t>
      </w:r>
      <w:r w:rsidRPr="00D1550C">
        <w:rPr>
          <w:sz w:val="26"/>
          <w:szCs w:val="26"/>
          <w:vertAlign w:val="superscript"/>
        </w:rPr>
        <w:t>st</w:t>
      </w:r>
      <w:r w:rsidR="008544F1" w:rsidRPr="00D1550C">
        <w:rPr>
          <w:sz w:val="26"/>
          <w:szCs w:val="26"/>
        </w:rPr>
        <w:t xml:space="preserve"> half</w:t>
      </w:r>
      <w:r w:rsidRPr="00D1550C">
        <w:rPr>
          <w:sz w:val="26"/>
          <w:szCs w:val="26"/>
        </w:rPr>
        <w:t xml:space="preserve"> of 2021</w:t>
      </w:r>
      <w:r w:rsidR="00D075DC" w:rsidRPr="00D1550C">
        <w:rPr>
          <w:sz w:val="26"/>
          <w:szCs w:val="26"/>
        </w:rPr>
        <w:t>. Main components of the</w:t>
      </w:r>
      <w:r w:rsidRPr="00D1550C">
        <w:rPr>
          <w:sz w:val="26"/>
          <w:szCs w:val="26"/>
        </w:rPr>
        <w:t xml:space="preserve"> «Other investments» were currency and deposits of residents, as well as trade credits and advances </w:t>
      </w:r>
      <w:r w:rsidRPr="00D1550C">
        <w:rPr>
          <w:i/>
          <w:sz w:val="26"/>
          <w:szCs w:val="26"/>
        </w:rPr>
        <w:t>(accounts receivable)</w:t>
      </w:r>
      <w:r w:rsidRPr="00D1550C">
        <w:rPr>
          <w:sz w:val="26"/>
          <w:szCs w:val="26"/>
        </w:rPr>
        <w:t xml:space="preserve">, which </w:t>
      </w:r>
      <w:r w:rsidR="00D075DC" w:rsidRPr="00D1550C">
        <w:rPr>
          <w:sz w:val="26"/>
          <w:szCs w:val="26"/>
        </w:rPr>
        <w:t>accounted</w:t>
      </w:r>
      <w:r w:rsidRPr="00D1550C">
        <w:rPr>
          <w:sz w:val="26"/>
          <w:szCs w:val="26"/>
        </w:rPr>
        <w:t xml:space="preserve"> by USD </w:t>
      </w:r>
      <w:r w:rsidR="008544F1" w:rsidRPr="00D1550C">
        <w:rPr>
          <w:sz w:val="26"/>
          <w:szCs w:val="26"/>
        </w:rPr>
        <w:t>517</w:t>
      </w:r>
      <w:r w:rsidR="00CD528D" w:rsidRPr="00D1550C">
        <w:rPr>
          <w:sz w:val="26"/>
          <w:szCs w:val="26"/>
        </w:rPr>
        <w:t>.</w:t>
      </w:r>
      <w:r w:rsidR="008544F1" w:rsidRPr="00D1550C">
        <w:rPr>
          <w:sz w:val="26"/>
          <w:szCs w:val="26"/>
        </w:rPr>
        <w:t>7 million and USD 471</w:t>
      </w:r>
      <w:r w:rsidR="00CD528D" w:rsidRPr="00D1550C">
        <w:rPr>
          <w:sz w:val="26"/>
          <w:szCs w:val="26"/>
        </w:rPr>
        <w:t>.</w:t>
      </w:r>
      <w:r w:rsidR="008544F1" w:rsidRPr="00D1550C">
        <w:rPr>
          <w:sz w:val="26"/>
          <w:szCs w:val="26"/>
        </w:rPr>
        <w:t>4</w:t>
      </w:r>
      <w:r w:rsidRPr="00D1550C">
        <w:rPr>
          <w:sz w:val="26"/>
          <w:szCs w:val="26"/>
        </w:rPr>
        <w:t xml:space="preserve"> million respectively.</w:t>
      </w:r>
    </w:p>
    <w:p w:rsidR="00BE2184" w:rsidRPr="00D1550C" w:rsidRDefault="00DB28B4" w:rsidP="009E4DBB">
      <w:pPr>
        <w:spacing w:before="80" w:line="288" w:lineRule="auto"/>
        <w:ind w:firstLine="709"/>
        <w:jc w:val="both"/>
        <w:rPr>
          <w:rFonts w:cs="Calibri"/>
          <w:color w:val="0070C0"/>
          <w:sz w:val="26"/>
          <w:szCs w:val="26"/>
        </w:rPr>
      </w:pPr>
      <w:r w:rsidRPr="00D1550C">
        <w:rPr>
          <w:sz w:val="26"/>
          <w:szCs w:val="26"/>
        </w:rPr>
        <w:t>The analysis of the component «Currency and deposits» by sectors of the economy showed that the main vol</w:t>
      </w:r>
      <w:r w:rsidR="00D1554F" w:rsidRPr="00D1550C">
        <w:rPr>
          <w:sz w:val="26"/>
          <w:szCs w:val="26"/>
        </w:rPr>
        <w:t>ume of operations falls on private</w:t>
      </w:r>
      <w:r w:rsidRPr="00D1550C">
        <w:rPr>
          <w:sz w:val="26"/>
          <w:szCs w:val="26"/>
        </w:rPr>
        <w:t xml:space="preserve"> sectors, since growth of the population savings in foreign currency are taken into account in this sector. </w:t>
      </w:r>
      <w:r w:rsidR="004D6ED6" w:rsidRPr="00D1550C">
        <w:rPr>
          <w:sz w:val="26"/>
          <w:szCs w:val="26"/>
        </w:rPr>
        <w:t xml:space="preserve">At the same time, </w:t>
      </w:r>
      <w:r w:rsidRPr="00D1550C">
        <w:rPr>
          <w:sz w:val="26"/>
          <w:szCs w:val="26"/>
        </w:rPr>
        <w:t xml:space="preserve">the assets of the population in foreign currency are constantly increasing due to the repatriation (return) of incomes of citizens of the Republic of Uzbekistan working abroad, </w:t>
      </w:r>
      <w:r w:rsidR="004D6ED6" w:rsidRPr="00D1550C">
        <w:rPr>
          <w:sz w:val="26"/>
          <w:szCs w:val="26"/>
        </w:rPr>
        <w:t>as wel as due to the</w:t>
      </w:r>
      <w:r w:rsidRPr="00D1550C">
        <w:rPr>
          <w:sz w:val="26"/>
          <w:szCs w:val="26"/>
        </w:rPr>
        <w:t xml:space="preserve"> receipts to the foreign accounts of residents - legal entities </w:t>
      </w:r>
      <w:r w:rsidR="00720D43" w:rsidRPr="00D1550C">
        <w:rPr>
          <w:sz w:val="26"/>
          <w:szCs w:val="26"/>
        </w:rPr>
        <w:t>in the</w:t>
      </w:r>
      <w:r w:rsidRPr="00D1550C">
        <w:rPr>
          <w:sz w:val="26"/>
          <w:szCs w:val="26"/>
        </w:rPr>
        <w:t xml:space="preserve"> 1</w:t>
      </w:r>
      <w:r w:rsidRPr="00D1550C">
        <w:rPr>
          <w:sz w:val="26"/>
          <w:szCs w:val="26"/>
          <w:vertAlign w:val="superscript"/>
        </w:rPr>
        <w:t>st</w:t>
      </w:r>
      <w:r w:rsidR="0028132E" w:rsidRPr="00D1550C">
        <w:rPr>
          <w:sz w:val="26"/>
          <w:szCs w:val="26"/>
        </w:rPr>
        <w:t xml:space="preserve"> half</w:t>
      </w:r>
      <w:r w:rsidRPr="00D1550C">
        <w:rPr>
          <w:sz w:val="26"/>
          <w:szCs w:val="26"/>
        </w:rPr>
        <w:t xml:space="preserve"> of 2021.</w:t>
      </w:r>
      <w:r w:rsidR="005906C1" w:rsidRPr="00D1550C">
        <w:rPr>
          <w:rFonts w:asciiTheme="minorHAnsi" w:hAnsiTheme="minorHAnsi" w:cstheme="minorHAnsi"/>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5</w:t>
      </w:r>
      <w:r w:rsidR="005906C1" w:rsidRPr="00D1550C">
        <w:rPr>
          <w:rFonts w:cs="Calibri"/>
          <w:color w:val="0070C0"/>
          <w:sz w:val="26"/>
          <w:szCs w:val="26"/>
        </w:rPr>
        <w:t>).</w:t>
      </w:r>
    </w:p>
    <w:p w:rsidR="00120228" w:rsidRPr="00D1550C" w:rsidRDefault="00B23450" w:rsidP="009E4DBB">
      <w:pPr>
        <w:spacing w:beforeLines="50" w:before="120"/>
        <w:ind w:firstLine="709"/>
        <w:jc w:val="right"/>
      </w:pPr>
      <w:r w:rsidRPr="00D1550C">
        <w:t>Figure</w:t>
      </w:r>
      <w:r w:rsidR="00487198" w:rsidRPr="00D1550C">
        <w:t xml:space="preserve"> 1</w:t>
      </w:r>
      <w:r w:rsidR="00804478" w:rsidRPr="00D1550C">
        <w:t>5</w:t>
      </w:r>
    </w:p>
    <w:p w:rsidR="00120228" w:rsidRPr="00D1550C" w:rsidRDefault="00ED2D7D" w:rsidP="00B75F3E">
      <w:pPr>
        <w:spacing w:beforeLines="50" w:before="120"/>
        <w:ind w:firstLine="708"/>
        <w:jc w:val="center"/>
        <w:rPr>
          <w:rFonts w:cs="Calibri"/>
          <w:b/>
          <w:sz w:val="28"/>
          <w:szCs w:val="28"/>
        </w:rPr>
      </w:pPr>
      <w:r w:rsidRPr="00D1550C">
        <w:rPr>
          <w:rFonts w:cs="Calibri"/>
          <w:b/>
          <w:sz w:val="28"/>
          <w:szCs w:val="28"/>
        </w:rPr>
        <w:t>NET CHANGES IN THE COMPONENT “CURRENCY AND DEPOSITS”</w:t>
      </w:r>
    </w:p>
    <w:p w:rsidR="00655C2A" w:rsidRPr="00D1550C" w:rsidRDefault="001C00A9" w:rsidP="00B75F3E">
      <w:pPr>
        <w:spacing w:beforeLines="50" w:before="120"/>
        <w:ind w:firstLine="708"/>
        <w:jc w:val="right"/>
        <w:rPr>
          <w:i/>
          <w:sz w:val="20"/>
          <w:szCs w:val="20"/>
        </w:rPr>
      </w:pPr>
      <w:r w:rsidRPr="00D1550C">
        <w:rPr>
          <w:i/>
          <w:sz w:val="20"/>
          <w:szCs w:val="20"/>
        </w:rPr>
        <w:t>(</w:t>
      </w:r>
      <w:r w:rsidR="005B43E3" w:rsidRPr="00D1550C">
        <w:rPr>
          <w:i/>
          <w:sz w:val="20"/>
          <w:szCs w:val="20"/>
        </w:rPr>
        <w:t xml:space="preserve">mln. </w:t>
      </w:r>
      <w:r w:rsidRPr="00D1550C">
        <w:rPr>
          <w:i/>
          <w:sz w:val="20"/>
          <w:szCs w:val="20"/>
        </w:rPr>
        <w:t>USD)</w:t>
      </w:r>
      <w:r w:rsidR="00570991" w:rsidRPr="00D1550C">
        <w:t xml:space="preserve"> </w:t>
      </w:r>
      <w:r w:rsidR="00045917" w:rsidRPr="00D1550C">
        <w:rPr>
          <w:noProof/>
          <w:lang w:val="ru-RU"/>
        </w:rPr>
        <w:drawing>
          <wp:inline distT="0" distB="0" distL="0" distR="0" wp14:anchorId="1EE21AFA" wp14:editId="63555F71">
            <wp:extent cx="6368415" cy="3951798"/>
            <wp:effectExtent l="0" t="0" r="13335" b="10795"/>
            <wp:docPr id="38" name="Диаграмма 3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E5140" w:rsidRPr="00D1550C" w:rsidRDefault="008E5140" w:rsidP="007E66F6">
      <w:pPr>
        <w:spacing w:before="120" w:line="288" w:lineRule="auto"/>
        <w:ind w:firstLine="709"/>
        <w:jc w:val="both"/>
        <w:rPr>
          <w:sz w:val="26"/>
          <w:szCs w:val="26"/>
        </w:rPr>
      </w:pPr>
    </w:p>
    <w:p w:rsidR="008E5140" w:rsidRPr="00D1550C" w:rsidRDefault="008E5140" w:rsidP="007E66F6">
      <w:pPr>
        <w:spacing w:before="120" w:line="288" w:lineRule="auto"/>
        <w:ind w:firstLine="709"/>
        <w:jc w:val="both"/>
        <w:rPr>
          <w:sz w:val="26"/>
          <w:szCs w:val="26"/>
        </w:rPr>
      </w:pPr>
    </w:p>
    <w:p w:rsidR="007E66F6" w:rsidRPr="00D1550C" w:rsidRDefault="007E66F6" w:rsidP="007E66F6">
      <w:pPr>
        <w:spacing w:before="120" w:line="288" w:lineRule="auto"/>
        <w:ind w:firstLine="709"/>
        <w:jc w:val="both"/>
        <w:rPr>
          <w:sz w:val="26"/>
          <w:szCs w:val="26"/>
        </w:rPr>
      </w:pPr>
      <w:r w:rsidRPr="00D1550C">
        <w:rPr>
          <w:sz w:val="26"/>
          <w:szCs w:val="26"/>
        </w:rPr>
        <w:lastRenderedPageBreak/>
        <w:t>Net changes in the currency and deposits of the banking sector (</w:t>
      </w:r>
      <w:r w:rsidRPr="00D1550C">
        <w:rPr>
          <w:rFonts w:asciiTheme="minorHAnsi" w:hAnsiTheme="minorHAnsi" w:cstheme="minorHAnsi"/>
          <w:sz w:val="26"/>
          <w:szCs w:val="26"/>
        </w:rPr>
        <w:t xml:space="preserve">balances </w:t>
      </w:r>
      <w:r w:rsidRPr="00D1550C">
        <w:rPr>
          <w:rFonts w:asciiTheme="minorHAnsi" w:hAnsiTheme="minorHAnsi" w:cstheme="minorHAnsi"/>
          <w:sz w:val="26"/>
          <w:szCs w:val="26"/>
        </w:rPr>
        <w:br/>
        <w:t>of correspondent accounts and cash departments</w:t>
      </w:r>
      <w:r w:rsidRPr="00D1550C">
        <w:rPr>
          <w:sz w:val="26"/>
          <w:szCs w:val="26"/>
        </w:rPr>
        <w:t xml:space="preserve">) were mainly formed as a result of the need to make payments on import operations of residents. As a result, for </w:t>
      </w:r>
      <w:r w:rsidR="002C4EA9" w:rsidRPr="00D1550C">
        <w:rPr>
          <w:sz w:val="26"/>
          <w:szCs w:val="26"/>
        </w:rPr>
        <w:t xml:space="preserve">the </w:t>
      </w:r>
      <w:r w:rsidRPr="00D1550C">
        <w:rPr>
          <w:sz w:val="26"/>
          <w:szCs w:val="26"/>
        </w:rPr>
        <w:t>1</w:t>
      </w:r>
      <w:r w:rsidRPr="00D1550C">
        <w:rPr>
          <w:sz w:val="26"/>
          <w:szCs w:val="26"/>
          <w:vertAlign w:val="superscript"/>
        </w:rPr>
        <w:t>st</w:t>
      </w:r>
      <w:r w:rsidR="00B27F8A" w:rsidRPr="00D1550C">
        <w:rPr>
          <w:sz w:val="26"/>
          <w:szCs w:val="26"/>
        </w:rPr>
        <w:t xml:space="preserve"> half</w:t>
      </w:r>
      <w:r w:rsidRPr="00D1550C">
        <w:rPr>
          <w:sz w:val="26"/>
          <w:szCs w:val="26"/>
        </w:rPr>
        <w:t xml:space="preserve"> in 2021, net assets of Uzbek banks in foreign currency and deposits </w:t>
      </w:r>
      <w:r w:rsidR="00B27F8A" w:rsidRPr="00D1550C">
        <w:rPr>
          <w:sz w:val="26"/>
          <w:szCs w:val="26"/>
        </w:rPr>
        <w:t>de</w:t>
      </w:r>
      <w:r w:rsidRPr="00D1550C">
        <w:rPr>
          <w:sz w:val="26"/>
          <w:szCs w:val="26"/>
        </w:rPr>
        <w:t xml:space="preserve">creased by </w:t>
      </w:r>
      <w:r w:rsidR="00B27F8A" w:rsidRPr="00D1550C">
        <w:rPr>
          <w:sz w:val="26"/>
          <w:szCs w:val="26"/>
        </w:rPr>
        <w:t>USD 330</w:t>
      </w:r>
      <w:r w:rsidR="00E52C34" w:rsidRPr="00D1550C">
        <w:rPr>
          <w:sz w:val="26"/>
          <w:szCs w:val="26"/>
        </w:rPr>
        <w:t>.</w:t>
      </w:r>
      <w:r w:rsidR="00B27F8A" w:rsidRPr="00D1550C">
        <w:rPr>
          <w:sz w:val="26"/>
          <w:szCs w:val="26"/>
        </w:rPr>
        <w:t>1</w:t>
      </w:r>
      <w:r w:rsidRPr="00D1550C">
        <w:rPr>
          <w:sz w:val="26"/>
          <w:szCs w:val="26"/>
        </w:rPr>
        <w:t xml:space="preserve"> million. </w:t>
      </w:r>
    </w:p>
    <w:p w:rsidR="00C029D5" w:rsidRPr="00D1550C" w:rsidRDefault="007E66F6" w:rsidP="007E66F6">
      <w:pPr>
        <w:spacing w:before="120" w:line="288" w:lineRule="auto"/>
        <w:ind w:firstLine="709"/>
        <w:jc w:val="both"/>
        <w:rPr>
          <w:sz w:val="26"/>
          <w:szCs w:val="26"/>
        </w:rPr>
      </w:pPr>
      <w:r w:rsidRPr="00D1550C">
        <w:rPr>
          <w:sz w:val="26"/>
          <w:szCs w:val="26"/>
        </w:rPr>
        <w:t xml:space="preserve">The balance of operations on trade credits and advances provided to non-residents under foreign trade contracts was positive and amounted to </w:t>
      </w:r>
      <w:r w:rsidR="006B2920" w:rsidRPr="00D1550C">
        <w:rPr>
          <w:sz w:val="26"/>
          <w:szCs w:val="26"/>
        </w:rPr>
        <w:t>USD 471</w:t>
      </w:r>
      <w:r w:rsidR="0066797C" w:rsidRPr="00D1550C">
        <w:rPr>
          <w:sz w:val="26"/>
          <w:szCs w:val="26"/>
        </w:rPr>
        <w:t>.</w:t>
      </w:r>
      <w:r w:rsidR="006B2920" w:rsidRPr="00D1550C">
        <w:rPr>
          <w:sz w:val="26"/>
          <w:szCs w:val="26"/>
        </w:rPr>
        <w:t>4</w:t>
      </w:r>
      <w:r w:rsidRPr="00D1550C">
        <w:rPr>
          <w:sz w:val="26"/>
          <w:szCs w:val="26"/>
        </w:rPr>
        <w:t xml:space="preserve"> million. This increase </w:t>
      </w:r>
      <w:r w:rsidR="009E4DBB" w:rsidRPr="00D1550C">
        <w:rPr>
          <w:sz w:val="26"/>
          <w:szCs w:val="26"/>
        </w:rPr>
        <w:br/>
      </w:r>
      <w:r w:rsidRPr="00D1550C">
        <w:rPr>
          <w:sz w:val="26"/>
          <w:szCs w:val="26"/>
        </w:rPr>
        <w:t xml:space="preserve">in accounts receivable may be due to an increase in foreign trade turnover, especially after the </w:t>
      </w:r>
      <w:r w:rsidR="009E4DBB" w:rsidRPr="00D1550C">
        <w:rPr>
          <w:sz w:val="26"/>
          <w:szCs w:val="26"/>
        </w:rPr>
        <w:t>removal of quarantine</w:t>
      </w:r>
      <w:r w:rsidRPr="00D1550C">
        <w:rPr>
          <w:sz w:val="26"/>
          <w:szCs w:val="26"/>
        </w:rPr>
        <w:t xml:space="preserve"> restrictions.</w:t>
      </w:r>
    </w:p>
    <w:p w:rsidR="00C029D5" w:rsidRPr="00D1550C" w:rsidRDefault="00C029D5" w:rsidP="00C029D5">
      <w:pPr>
        <w:spacing w:before="120" w:line="288" w:lineRule="auto"/>
        <w:ind w:firstLine="709"/>
        <w:jc w:val="both"/>
        <w:rPr>
          <w:rFonts w:asciiTheme="minorHAnsi" w:hAnsiTheme="minorHAnsi" w:cstheme="minorHAnsi"/>
          <w:sz w:val="26"/>
          <w:szCs w:val="26"/>
          <w:u w:val="single"/>
        </w:rPr>
      </w:pPr>
      <w:r w:rsidRPr="00D1550C">
        <w:rPr>
          <w:rFonts w:asciiTheme="minorHAnsi" w:hAnsiTheme="minorHAnsi" w:cstheme="minorHAnsi"/>
          <w:sz w:val="26"/>
          <w:szCs w:val="26"/>
          <w:u w:val="single"/>
        </w:rPr>
        <w:t>Liabilities</w:t>
      </w:r>
    </w:p>
    <w:p w:rsidR="008B34C2" w:rsidRPr="00D1550C" w:rsidRDefault="008B34C2" w:rsidP="008B34C2">
      <w:pPr>
        <w:spacing w:before="120" w:line="288" w:lineRule="auto"/>
        <w:ind w:firstLine="709"/>
        <w:jc w:val="both"/>
        <w:rPr>
          <w:sz w:val="26"/>
          <w:szCs w:val="26"/>
        </w:rPr>
      </w:pPr>
      <w:r w:rsidRPr="00D1550C">
        <w:rPr>
          <w:rFonts w:asciiTheme="minorHAnsi" w:hAnsiTheme="minorHAnsi" w:cstheme="minorHAnsi"/>
          <w:sz w:val="26"/>
          <w:szCs w:val="26"/>
        </w:rPr>
        <w:t xml:space="preserve">For </w:t>
      </w:r>
      <w:r w:rsidR="006C7CFA" w:rsidRPr="00D1550C">
        <w:rPr>
          <w:rFonts w:asciiTheme="minorHAnsi" w:hAnsiTheme="minorHAnsi" w:cstheme="minorHAnsi"/>
          <w:sz w:val="26"/>
          <w:szCs w:val="26"/>
        </w:rPr>
        <w:t xml:space="preserve">the </w:t>
      </w:r>
      <w:r w:rsidRPr="00D1550C">
        <w:rPr>
          <w:rFonts w:asciiTheme="minorHAnsi" w:hAnsiTheme="minorHAnsi" w:cstheme="minorHAnsi"/>
          <w:sz w:val="26"/>
          <w:szCs w:val="26"/>
        </w:rPr>
        <w:t>1</w:t>
      </w:r>
      <w:r w:rsidRPr="00D1550C">
        <w:rPr>
          <w:rFonts w:asciiTheme="minorHAnsi" w:hAnsiTheme="minorHAnsi" w:cstheme="minorHAnsi"/>
          <w:sz w:val="26"/>
          <w:szCs w:val="26"/>
          <w:vertAlign w:val="superscript"/>
        </w:rPr>
        <w:t>st</w:t>
      </w:r>
      <w:r w:rsidR="00E200E7" w:rsidRPr="00D1550C">
        <w:rPr>
          <w:rFonts w:asciiTheme="minorHAnsi" w:hAnsiTheme="minorHAnsi" w:cstheme="minorHAnsi"/>
          <w:sz w:val="26"/>
          <w:szCs w:val="26"/>
        </w:rPr>
        <w:t xml:space="preserve"> half</w:t>
      </w:r>
      <w:r w:rsidRPr="00D1550C">
        <w:rPr>
          <w:rFonts w:asciiTheme="minorHAnsi" w:hAnsiTheme="minorHAnsi" w:cstheme="minorHAnsi"/>
          <w:sz w:val="26"/>
          <w:szCs w:val="26"/>
        </w:rPr>
        <w:t xml:space="preserve"> of 2021, net increase of liabilities of «other investments» section accounted for USD </w:t>
      </w:r>
      <w:r w:rsidR="00E200E7" w:rsidRPr="00D1550C">
        <w:rPr>
          <w:rFonts w:asciiTheme="minorHAnsi" w:hAnsiTheme="minorHAnsi" w:cstheme="minorHAnsi"/>
          <w:sz w:val="26"/>
          <w:szCs w:val="26"/>
        </w:rPr>
        <w:t>2</w:t>
      </w:r>
      <w:r w:rsidR="006C7CFA" w:rsidRPr="00D1550C">
        <w:rPr>
          <w:rFonts w:asciiTheme="minorHAnsi" w:hAnsiTheme="minorHAnsi" w:cstheme="minorHAnsi"/>
          <w:sz w:val="26"/>
          <w:szCs w:val="26"/>
        </w:rPr>
        <w:t>.</w:t>
      </w:r>
      <w:r w:rsidR="00E200E7" w:rsidRPr="00D1550C">
        <w:rPr>
          <w:rFonts w:asciiTheme="minorHAnsi" w:hAnsiTheme="minorHAnsi" w:cstheme="minorHAnsi"/>
          <w:sz w:val="26"/>
          <w:szCs w:val="26"/>
        </w:rPr>
        <w:t>3 b</w:t>
      </w:r>
      <w:r w:rsidRPr="00D1550C">
        <w:rPr>
          <w:rFonts w:asciiTheme="minorHAnsi" w:hAnsiTheme="minorHAnsi" w:cstheme="minorHAnsi"/>
          <w:sz w:val="26"/>
          <w:szCs w:val="26"/>
        </w:rPr>
        <w:t xml:space="preserve">illion. </w:t>
      </w:r>
      <w:r w:rsidRPr="00D1550C">
        <w:rPr>
          <w:sz w:val="26"/>
          <w:szCs w:val="26"/>
        </w:rPr>
        <w:t xml:space="preserve">This growth was largely driven by the «Loans and borrowings» component </w:t>
      </w:r>
      <w:r w:rsidR="004474C4" w:rsidRPr="00D1550C">
        <w:rPr>
          <w:sz w:val="26"/>
          <w:szCs w:val="26"/>
        </w:rPr>
        <w:t>(</w:t>
      </w:r>
      <w:r w:rsidR="00E200E7" w:rsidRPr="00D1550C">
        <w:rPr>
          <w:rFonts w:asciiTheme="minorHAnsi" w:hAnsiTheme="minorHAnsi" w:cstheme="minorHAnsi"/>
          <w:sz w:val="26"/>
          <w:szCs w:val="26"/>
        </w:rPr>
        <w:t>79% or $1</w:t>
      </w:r>
      <w:r w:rsidR="006C7CFA" w:rsidRPr="00D1550C">
        <w:rPr>
          <w:rFonts w:asciiTheme="minorHAnsi" w:hAnsiTheme="minorHAnsi" w:cstheme="minorHAnsi"/>
          <w:sz w:val="26"/>
          <w:szCs w:val="26"/>
        </w:rPr>
        <w:t>.</w:t>
      </w:r>
      <w:r w:rsidR="00E200E7" w:rsidRPr="00D1550C">
        <w:rPr>
          <w:rFonts w:asciiTheme="minorHAnsi" w:hAnsiTheme="minorHAnsi" w:cstheme="minorHAnsi"/>
          <w:sz w:val="26"/>
          <w:szCs w:val="26"/>
        </w:rPr>
        <w:t>8</w:t>
      </w:r>
      <w:r w:rsidRPr="00D1550C">
        <w:rPr>
          <w:rFonts w:asciiTheme="minorHAnsi" w:hAnsiTheme="minorHAnsi" w:cstheme="minorHAnsi"/>
          <w:sz w:val="26"/>
          <w:szCs w:val="26"/>
        </w:rPr>
        <w:t xml:space="preserve"> </w:t>
      </w:r>
      <w:r w:rsidR="00E200E7" w:rsidRPr="00D1550C">
        <w:rPr>
          <w:rFonts w:asciiTheme="minorHAnsi" w:hAnsiTheme="minorHAnsi" w:cstheme="minorHAnsi"/>
          <w:sz w:val="26"/>
          <w:szCs w:val="26"/>
        </w:rPr>
        <w:t>b</w:t>
      </w:r>
      <w:r w:rsidRPr="00D1550C">
        <w:rPr>
          <w:rFonts w:asciiTheme="minorHAnsi" w:hAnsiTheme="minorHAnsi" w:cstheme="minorHAnsi"/>
          <w:sz w:val="26"/>
          <w:szCs w:val="26"/>
        </w:rPr>
        <w:t>illion</w:t>
      </w:r>
      <w:r w:rsidR="004474C4" w:rsidRPr="00D1550C">
        <w:rPr>
          <w:rFonts w:asciiTheme="minorHAnsi" w:hAnsiTheme="minorHAnsi" w:cstheme="minorHAnsi"/>
          <w:sz w:val="26"/>
          <w:szCs w:val="26"/>
        </w:rPr>
        <w:t>)</w:t>
      </w:r>
      <w:r w:rsidRPr="00D1550C">
        <w:rPr>
          <w:rFonts w:asciiTheme="minorHAnsi" w:hAnsiTheme="minorHAnsi" w:cstheme="minorHAnsi"/>
          <w:sz w:val="26"/>
          <w:szCs w:val="26"/>
        </w:rPr>
        <w:t>, mainly due to borrowings by banks and non-financial enterprises.</w:t>
      </w:r>
    </w:p>
    <w:p w:rsidR="005906C1" w:rsidRPr="00D1550C" w:rsidRDefault="008B34C2" w:rsidP="00334A00">
      <w:pPr>
        <w:spacing w:before="120" w:line="288" w:lineRule="auto"/>
        <w:ind w:firstLine="709"/>
        <w:jc w:val="both"/>
        <w:rPr>
          <w:rFonts w:asciiTheme="minorHAnsi" w:hAnsiTheme="minorHAnsi" w:cstheme="minorHAnsi"/>
          <w:sz w:val="26"/>
          <w:szCs w:val="26"/>
        </w:rPr>
      </w:pPr>
      <w:r w:rsidRPr="00D1550C">
        <w:rPr>
          <w:rFonts w:asciiTheme="minorHAnsi" w:hAnsiTheme="minorHAnsi" w:cstheme="minorHAnsi"/>
          <w:sz w:val="26"/>
          <w:szCs w:val="26"/>
        </w:rPr>
        <w:t xml:space="preserve">An analysis of the «loans and borrowings» component by sector of the economy showed that since 2018, the </w:t>
      </w:r>
      <w:r w:rsidR="00334A00">
        <w:rPr>
          <w:rFonts w:asciiTheme="minorHAnsi" w:hAnsiTheme="minorHAnsi" w:cstheme="minorHAnsi"/>
          <w:sz w:val="26"/>
          <w:szCs w:val="26"/>
        </w:rPr>
        <w:t>high amounts</w:t>
      </w:r>
      <w:r w:rsidRPr="00D1550C">
        <w:rPr>
          <w:rFonts w:asciiTheme="minorHAnsi" w:hAnsiTheme="minorHAnsi" w:cstheme="minorHAnsi"/>
          <w:sz w:val="26"/>
          <w:szCs w:val="26"/>
        </w:rPr>
        <w:t xml:space="preserve"> of</w:t>
      </w:r>
      <w:r w:rsidR="00334A00">
        <w:rPr>
          <w:rFonts w:asciiTheme="minorHAnsi" w:hAnsiTheme="minorHAnsi" w:cstheme="minorHAnsi"/>
          <w:sz w:val="26"/>
          <w:szCs w:val="26"/>
        </w:rPr>
        <w:t xml:space="preserve"> borrowing</w:t>
      </w:r>
      <w:r w:rsidRPr="00D1550C">
        <w:rPr>
          <w:rFonts w:asciiTheme="minorHAnsi" w:hAnsiTheme="minorHAnsi" w:cstheme="minorHAnsi"/>
          <w:sz w:val="26"/>
          <w:szCs w:val="26"/>
        </w:rPr>
        <w:t xml:space="preserve"> by the general government sector </w:t>
      </w:r>
      <w:r w:rsidR="00334A00">
        <w:rPr>
          <w:rFonts w:asciiTheme="minorHAnsi" w:hAnsiTheme="minorHAnsi" w:cstheme="minorHAnsi"/>
          <w:sz w:val="26"/>
          <w:szCs w:val="26"/>
        </w:rPr>
        <w:t xml:space="preserve">resulted </w:t>
      </w:r>
      <w:r w:rsidR="00334A00">
        <w:rPr>
          <w:rFonts w:asciiTheme="minorHAnsi" w:hAnsiTheme="minorHAnsi" w:cstheme="minorHAnsi"/>
          <w:sz w:val="26"/>
          <w:szCs w:val="26"/>
        </w:rPr>
        <w:br/>
        <w:t>in maintained</w:t>
      </w:r>
      <w:r w:rsidRPr="00D1550C">
        <w:rPr>
          <w:rFonts w:asciiTheme="minorHAnsi" w:hAnsiTheme="minorHAnsi" w:cstheme="minorHAnsi"/>
          <w:sz w:val="26"/>
          <w:szCs w:val="26"/>
        </w:rPr>
        <w:t xml:space="preserve"> tendency of </w:t>
      </w:r>
      <w:r w:rsidR="00334A00">
        <w:rPr>
          <w:rFonts w:asciiTheme="minorHAnsi" w:hAnsiTheme="minorHAnsi" w:cstheme="minorHAnsi"/>
          <w:sz w:val="26"/>
          <w:szCs w:val="26"/>
        </w:rPr>
        <w:t>accumulating</w:t>
      </w:r>
      <w:r w:rsidRPr="00D1550C">
        <w:rPr>
          <w:rFonts w:asciiTheme="minorHAnsi" w:hAnsiTheme="minorHAnsi" w:cstheme="minorHAnsi"/>
          <w:sz w:val="26"/>
          <w:szCs w:val="26"/>
        </w:rPr>
        <w:t xml:space="preserve"> liabilities. During the reporting period, the net acceptance of liabilities</w:t>
      </w:r>
      <w:r w:rsidR="00586D8D" w:rsidRPr="00D1550C">
        <w:rPr>
          <w:rFonts w:asciiTheme="minorHAnsi" w:hAnsiTheme="minorHAnsi" w:cstheme="minorHAnsi"/>
          <w:sz w:val="26"/>
          <w:szCs w:val="26"/>
        </w:rPr>
        <w:t xml:space="preserve"> on </w:t>
      </w:r>
      <w:r w:rsidR="00A56078">
        <w:rPr>
          <w:rFonts w:asciiTheme="minorHAnsi" w:hAnsiTheme="minorHAnsi" w:cstheme="minorHAnsi"/>
          <w:sz w:val="26"/>
          <w:szCs w:val="26"/>
        </w:rPr>
        <w:t>such</w:t>
      </w:r>
      <w:r w:rsidR="00586D8D" w:rsidRPr="00D1550C">
        <w:rPr>
          <w:rFonts w:asciiTheme="minorHAnsi" w:hAnsiTheme="minorHAnsi" w:cstheme="minorHAnsi"/>
          <w:sz w:val="26"/>
          <w:szCs w:val="26"/>
        </w:rPr>
        <w:t xml:space="preserve"> loans decreased by 2 times</w:t>
      </w:r>
      <w:r w:rsidRPr="00D1550C">
        <w:rPr>
          <w:rFonts w:asciiTheme="minorHAnsi" w:hAnsiTheme="minorHAnsi" w:cstheme="minorHAnsi"/>
          <w:sz w:val="26"/>
          <w:szCs w:val="26"/>
        </w:rPr>
        <w:t xml:space="preserve"> compared to the same </w:t>
      </w:r>
      <w:r w:rsidR="00586D8D" w:rsidRPr="00D1550C">
        <w:rPr>
          <w:rFonts w:asciiTheme="minorHAnsi" w:hAnsiTheme="minorHAnsi" w:cstheme="minorHAnsi"/>
          <w:sz w:val="26"/>
          <w:szCs w:val="26"/>
        </w:rPr>
        <w:t>period last year and as of Jul</w:t>
      </w:r>
      <w:r w:rsidR="008F3569" w:rsidRPr="00D1550C">
        <w:rPr>
          <w:rFonts w:asciiTheme="minorHAnsi" w:hAnsiTheme="minorHAnsi" w:cstheme="minorHAnsi"/>
          <w:sz w:val="26"/>
          <w:szCs w:val="26"/>
        </w:rPr>
        <w:t>y 1</w:t>
      </w:r>
      <w:r w:rsidR="00D31257" w:rsidRPr="00D1550C">
        <w:rPr>
          <w:rFonts w:asciiTheme="minorHAnsi" w:hAnsiTheme="minorHAnsi" w:cstheme="minorHAnsi"/>
          <w:sz w:val="26"/>
          <w:szCs w:val="26"/>
          <w:vertAlign w:val="superscript"/>
        </w:rPr>
        <w:t>st</w:t>
      </w:r>
      <w:r w:rsidR="00D31257" w:rsidRPr="00D1550C">
        <w:rPr>
          <w:rFonts w:asciiTheme="minorHAnsi" w:hAnsiTheme="minorHAnsi" w:cstheme="minorHAnsi"/>
          <w:sz w:val="26"/>
          <w:szCs w:val="26"/>
        </w:rPr>
        <w:t xml:space="preserve"> of</w:t>
      </w:r>
      <w:r w:rsidR="008F3569" w:rsidRPr="00D1550C">
        <w:rPr>
          <w:rFonts w:asciiTheme="minorHAnsi" w:hAnsiTheme="minorHAnsi" w:cstheme="minorHAnsi"/>
          <w:sz w:val="26"/>
          <w:szCs w:val="26"/>
        </w:rPr>
        <w:t xml:space="preserve"> 2021 </w:t>
      </w:r>
      <w:r w:rsidRPr="00D1550C">
        <w:rPr>
          <w:rFonts w:asciiTheme="minorHAnsi" w:hAnsiTheme="minorHAnsi" w:cstheme="minorHAnsi"/>
          <w:sz w:val="26"/>
          <w:szCs w:val="26"/>
        </w:rPr>
        <w:t xml:space="preserve">amounted to USD </w:t>
      </w:r>
      <w:r w:rsidR="00A27DCD" w:rsidRPr="00D1550C">
        <w:rPr>
          <w:rFonts w:asciiTheme="minorHAnsi" w:hAnsiTheme="minorHAnsi" w:cstheme="minorHAnsi"/>
          <w:sz w:val="26"/>
          <w:szCs w:val="26"/>
        </w:rPr>
        <w:t>467.</w:t>
      </w:r>
      <w:r w:rsidR="00586D8D" w:rsidRPr="00D1550C">
        <w:rPr>
          <w:rFonts w:asciiTheme="minorHAnsi" w:hAnsiTheme="minorHAnsi" w:cstheme="minorHAnsi"/>
          <w:sz w:val="26"/>
          <w:szCs w:val="26"/>
        </w:rPr>
        <w:t>6</w:t>
      </w:r>
      <w:r w:rsidRPr="00D1550C">
        <w:rPr>
          <w:rFonts w:asciiTheme="minorHAnsi" w:hAnsiTheme="minorHAnsi" w:cstheme="minorHAnsi"/>
          <w:sz w:val="26"/>
          <w:szCs w:val="26"/>
        </w:rPr>
        <w:t xml:space="preserve"> million</w:t>
      </w:r>
      <w:r w:rsidR="005906C1" w:rsidRPr="00D1550C">
        <w:rPr>
          <w:rFonts w:asciiTheme="minorHAnsi" w:hAnsiTheme="minorHAnsi" w:cstheme="minorHAnsi"/>
          <w:sz w:val="26"/>
          <w:szCs w:val="26"/>
        </w:rPr>
        <w:t xml:space="preserve"> </w:t>
      </w:r>
      <w:r w:rsidR="005906C1" w:rsidRPr="00D1550C">
        <w:rPr>
          <w:rFonts w:asciiTheme="minorHAnsi" w:hAnsiTheme="minorHAnsi" w:cstheme="minorHAnsi"/>
          <w:color w:val="0070C0"/>
          <w:sz w:val="26"/>
          <w:szCs w:val="26"/>
        </w:rPr>
        <w:t>(Figure 1</w:t>
      </w:r>
      <w:r w:rsidR="00804478" w:rsidRPr="00D1550C">
        <w:rPr>
          <w:rFonts w:asciiTheme="minorHAnsi" w:hAnsiTheme="minorHAnsi" w:cstheme="minorHAnsi"/>
          <w:color w:val="0070C0"/>
          <w:sz w:val="26"/>
          <w:szCs w:val="26"/>
        </w:rPr>
        <w:t>6</w:t>
      </w:r>
      <w:r w:rsidR="005906C1" w:rsidRPr="00D1550C">
        <w:rPr>
          <w:rFonts w:asciiTheme="minorHAnsi" w:hAnsiTheme="minorHAnsi" w:cstheme="minorHAnsi"/>
          <w:color w:val="0070C0"/>
          <w:sz w:val="26"/>
          <w:szCs w:val="26"/>
        </w:rPr>
        <w:t>)</w:t>
      </w:r>
      <w:r w:rsidR="005906C1" w:rsidRPr="00D1550C">
        <w:rPr>
          <w:rFonts w:asciiTheme="minorHAnsi" w:hAnsiTheme="minorHAnsi" w:cstheme="minorHAnsi"/>
          <w:sz w:val="26"/>
          <w:szCs w:val="26"/>
        </w:rPr>
        <w:t>.</w:t>
      </w:r>
    </w:p>
    <w:p w:rsidR="008B34C2" w:rsidRPr="00D1550C" w:rsidRDefault="008B34C2" w:rsidP="008B34C2">
      <w:pPr>
        <w:spacing w:before="120" w:line="288" w:lineRule="auto"/>
        <w:ind w:firstLine="709"/>
        <w:jc w:val="both"/>
        <w:rPr>
          <w:rFonts w:asciiTheme="minorHAnsi" w:hAnsiTheme="minorHAnsi" w:cstheme="minorHAnsi"/>
          <w:sz w:val="26"/>
          <w:szCs w:val="26"/>
        </w:rPr>
      </w:pPr>
      <w:r w:rsidRPr="00D1550C">
        <w:rPr>
          <w:sz w:val="26"/>
          <w:szCs w:val="26"/>
        </w:rPr>
        <w:t>The net growth of liabilities on loans and borrowings of the banking sector for 1</w:t>
      </w:r>
      <w:r w:rsidRPr="00D1550C">
        <w:rPr>
          <w:sz w:val="26"/>
          <w:szCs w:val="26"/>
          <w:vertAlign w:val="superscript"/>
        </w:rPr>
        <w:t>st</w:t>
      </w:r>
      <w:r w:rsidRPr="00D1550C">
        <w:rPr>
          <w:sz w:val="26"/>
          <w:szCs w:val="26"/>
        </w:rPr>
        <w:t xml:space="preserve"> </w:t>
      </w:r>
      <w:r w:rsidR="00B32FA7" w:rsidRPr="00D1550C">
        <w:rPr>
          <w:sz w:val="26"/>
          <w:szCs w:val="26"/>
        </w:rPr>
        <w:t xml:space="preserve">half </w:t>
      </w:r>
      <w:r w:rsidR="00B32FA7" w:rsidRPr="00D1550C">
        <w:rPr>
          <w:sz w:val="26"/>
          <w:szCs w:val="26"/>
        </w:rPr>
        <w:br/>
      </w:r>
      <w:r w:rsidRPr="00D1550C">
        <w:rPr>
          <w:sz w:val="26"/>
          <w:szCs w:val="26"/>
        </w:rPr>
        <w:t xml:space="preserve">of 2021 was equal to USD </w:t>
      </w:r>
      <w:r w:rsidR="00B32FA7" w:rsidRPr="00D1550C">
        <w:rPr>
          <w:sz w:val="26"/>
          <w:szCs w:val="26"/>
        </w:rPr>
        <w:t>685</w:t>
      </w:r>
      <w:r w:rsidR="005B78F7" w:rsidRPr="00D1550C">
        <w:rPr>
          <w:sz w:val="26"/>
          <w:szCs w:val="26"/>
        </w:rPr>
        <w:t>.</w:t>
      </w:r>
      <w:r w:rsidR="00B32FA7" w:rsidRPr="00D1550C">
        <w:rPr>
          <w:sz w:val="26"/>
          <w:szCs w:val="26"/>
        </w:rPr>
        <w:t xml:space="preserve">6 </w:t>
      </w:r>
      <w:r w:rsidRPr="00D1550C">
        <w:rPr>
          <w:sz w:val="26"/>
          <w:szCs w:val="26"/>
        </w:rPr>
        <w:t>million and this growth was associated with the intensification of the activities of domestic banks to attract funds from foreign banks and international financial institutions for subsequent refinancing.</w:t>
      </w:r>
    </w:p>
    <w:p w:rsidR="008B34C2" w:rsidRPr="00D1550C" w:rsidRDefault="008B34C2" w:rsidP="00AE235A">
      <w:pPr>
        <w:spacing w:before="120" w:line="288" w:lineRule="auto"/>
        <w:ind w:firstLine="709"/>
        <w:jc w:val="both"/>
        <w:rPr>
          <w:rFonts w:asciiTheme="minorHAnsi" w:hAnsiTheme="minorHAnsi" w:cstheme="minorHAnsi"/>
          <w:sz w:val="26"/>
          <w:szCs w:val="26"/>
        </w:rPr>
      </w:pPr>
      <w:r w:rsidRPr="00D1550C">
        <w:rPr>
          <w:rFonts w:asciiTheme="minorHAnsi" w:hAnsiTheme="minorHAnsi" w:cstheme="minorHAnsi"/>
          <w:sz w:val="26"/>
          <w:szCs w:val="26"/>
        </w:rPr>
        <w:t>The balance of foreign borrowing operations of other sectors</w:t>
      </w:r>
      <w:r w:rsidR="00AE235A" w:rsidRPr="00D1550C">
        <w:rPr>
          <w:rFonts w:asciiTheme="minorHAnsi" w:hAnsiTheme="minorHAnsi" w:cstheme="minorHAnsi"/>
          <w:sz w:val="26"/>
          <w:szCs w:val="26"/>
        </w:rPr>
        <w:t xml:space="preserve"> increased by 24% or </w:t>
      </w:r>
      <w:r w:rsidR="0016064F" w:rsidRPr="00D1550C">
        <w:rPr>
          <w:rFonts w:asciiTheme="minorHAnsi" w:hAnsiTheme="minorHAnsi" w:cstheme="minorHAnsi"/>
          <w:sz w:val="26"/>
          <w:szCs w:val="26"/>
        </w:rPr>
        <w:br/>
      </w:r>
      <w:r w:rsidR="00AE235A" w:rsidRPr="00D1550C">
        <w:rPr>
          <w:rFonts w:asciiTheme="minorHAnsi" w:hAnsiTheme="minorHAnsi" w:cstheme="minorHAnsi"/>
          <w:sz w:val="26"/>
          <w:szCs w:val="26"/>
        </w:rPr>
        <w:t>USD 130</w:t>
      </w:r>
      <w:r w:rsidR="0016064F" w:rsidRPr="00D1550C">
        <w:rPr>
          <w:rFonts w:asciiTheme="minorHAnsi" w:hAnsiTheme="minorHAnsi" w:cstheme="minorHAnsi"/>
          <w:sz w:val="26"/>
          <w:szCs w:val="26"/>
        </w:rPr>
        <w:t>.</w:t>
      </w:r>
      <w:r w:rsidR="00AE235A" w:rsidRPr="00D1550C">
        <w:rPr>
          <w:rFonts w:asciiTheme="minorHAnsi" w:hAnsiTheme="minorHAnsi" w:cstheme="minorHAnsi"/>
          <w:sz w:val="26"/>
          <w:szCs w:val="26"/>
        </w:rPr>
        <w:t xml:space="preserve">5 million and as of July 1 </w:t>
      </w:r>
      <w:r w:rsidR="0016064F" w:rsidRPr="00D1550C">
        <w:rPr>
          <w:rFonts w:asciiTheme="minorHAnsi" w:hAnsiTheme="minorHAnsi" w:cstheme="minorHAnsi"/>
          <w:sz w:val="26"/>
          <w:szCs w:val="26"/>
        </w:rPr>
        <w:t xml:space="preserve">of </w:t>
      </w:r>
      <w:r w:rsidR="00AE235A" w:rsidRPr="00D1550C">
        <w:rPr>
          <w:rFonts w:asciiTheme="minorHAnsi" w:hAnsiTheme="minorHAnsi" w:cstheme="minorHAnsi"/>
          <w:sz w:val="26"/>
          <w:szCs w:val="26"/>
        </w:rPr>
        <w:t>this year amounted to 681</w:t>
      </w:r>
      <w:r w:rsidR="0016064F" w:rsidRPr="00D1550C">
        <w:rPr>
          <w:rFonts w:asciiTheme="minorHAnsi" w:hAnsiTheme="minorHAnsi" w:cstheme="minorHAnsi"/>
          <w:sz w:val="26"/>
          <w:szCs w:val="26"/>
        </w:rPr>
        <w:t>.</w:t>
      </w:r>
      <w:r w:rsidR="00AE235A" w:rsidRPr="00D1550C">
        <w:rPr>
          <w:rFonts w:asciiTheme="minorHAnsi" w:hAnsiTheme="minorHAnsi" w:cstheme="minorHAnsi"/>
          <w:sz w:val="26"/>
          <w:szCs w:val="26"/>
        </w:rPr>
        <w:t xml:space="preserve">5 million </w:t>
      </w:r>
      <w:r w:rsidRPr="00D1550C">
        <w:rPr>
          <w:rFonts w:asciiTheme="minorHAnsi" w:hAnsiTheme="minorHAnsi" w:cstheme="minorHAnsi"/>
          <w:sz w:val="26"/>
          <w:szCs w:val="26"/>
        </w:rPr>
        <w:t xml:space="preserve">due to </w:t>
      </w:r>
      <w:r w:rsidR="00771824" w:rsidRPr="00D1550C">
        <w:rPr>
          <w:rFonts w:asciiTheme="minorHAnsi" w:hAnsiTheme="minorHAnsi" w:cstheme="minorHAnsi"/>
          <w:sz w:val="26"/>
          <w:szCs w:val="26"/>
        </w:rPr>
        <w:t xml:space="preserve">attracting </w:t>
      </w:r>
      <w:r w:rsidRPr="00D1550C">
        <w:rPr>
          <w:rFonts w:asciiTheme="minorHAnsi" w:hAnsiTheme="minorHAnsi" w:cstheme="minorHAnsi"/>
          <w:sz w:val="26"/>
          <w:szCs w:val="26"/>
        </w:rPr>
        <w:t xml:space="preserve"> </w:t>
      </w:r>
      <w:r w:rsidR="00771824" w:rsidRPr="00D1550C">
        <w:rPr>
          <w:rFonts w:asciiTheme="minorHAnsi" w:hAnsiTheme="minorHAnsi" w:cstheme="minorHAnsi"/>
          <w:sz w:val="26"/>
          <w:szCs w:val="26"/>
        </w:rPr>
        <w:t>new</w:t>
      </w:r>
      <w:r w:rsidRPr="00D1550C">
        <w:rPr>
          <w:rFonts w:asciiTheme="minorHAnsi" w:hAnsiTheme="minorHAnsi" w:cstheme="minorHAnsi"/>
          <w:sz w:val="26"/>
          <w:szCs w:val="26"/>
        </w:rPr>
        <w:t xml:space="preserve"> loans by enterprises in the energy sector</w:t>
      </w:r>
      <w:r w:rsidR="00AE235A" w:rsidRPr="00D1550C">
        <w:rPr>
          <w:rFonts w:asciiTheme="minorHAnsi" w:hAnsiTheme="minorHAnsi" w:cstheme="minorHAnsi"/>
          <w:sz w:val="26"/>
          <w:szCs w:val="26"/>
        </w:rPr>
        <w:t xml:space="preserve"> and mining industry</w:t>
      </w:r>
      <w:r w:rsidRPr="00D1550C">
        <w:rPr>
          <w:rFonts w:asciiTheme="minorHAnsi" w:hAnsiTheme="minorHAnsi" w:cstheme="minorHAnsi"/>
          <w:sz w:val="26"/>
          <w:szCs w:val="26"/>
        </w:rPr>
        <w:t>.</w:t>
      </w:r>
    </w:p>
    <w:p w:rsidR="00C029D5" w:rsidRPr="00D1550C" w:rsidRDefault="004160A3" w:rsidP="00FA72BC">
      <w:pPr>
        <w:spacing w:before="120" w:line="288" w:lineRule="auto"/>
        <w:ind w:firstLine="709"/>
        <w:jc w:val="both"/>
        <w:rPr>
          <w:sz w:val="26"/>
          <w:szCs w:val="26"/>
        </w:rPr>
      </w:pPr>
      <w:r w:rsidRPr="00D1550C">
        <w:rPr>
          <w:sz w:val="26"/>
          <w:szCs w:val="26"/>
        </w:rPr>
        <w:t>The net growth</w:t>
      </w:r>
      <w:r w:rsidR="008B34C2" w:rsidRPr="00D1550C">
        <w:rPr>
          <w:sz w:val="26"/>
          <w:szCs w:val="26"/>
        </w:rPr>
        <w:t xml:space="preserve"> in liabilities on the item "Trade credits and advances" (accounts payables) </w:t>
      </w:r>
      <w:r w:rsidR="005833AA" w:rsidRPr="00D1550C">
        <w:rPr>
          <w:sz w:val="26"/>
          <w:szCs w:val="26"/>
        </w:rPr>
        <w:t>increased by 64</w:t>
      </w:r>
      <w:r w:rsidRPr="00D1550C">
        <w:rPr>
          <w:sz w:val="26"/>
          <w:szCs w:val="26"/>
        </w:rPr>
        <w:t xml:space="preserve"> percent</w:t>
      </w:r>
      <w:r w:rsidR="005833AA" w:rsidRPr="00D1550C">
        <w:rPr>
          <w:sz w:val="26"/>
          <w:szCs w:val="26"/>
        </w:rPr>
        <w:t xml:space="preserve"> or USD 133</w:t>
      </w:r>
      <w:r w:rsidR="00D4724D" w:rsidRPr="00D1550C">
        <w:rPr>
          <w:sz w:val="26"/>
          <w:szCs w:val="26"/>
        </w:rPr>
        <w:t>.</w:t>
      </w:r>
      <w:r w:rsidR="005833AA" w:rsidRPr="00D1550C">
        <w:rPr>
          <w:sz w:val="26"/>
          <w:szCs w:val="26"/>
        </w:rPr>
        <w:t>5 millon</w:t>
      </w:r>
      <w:r w:rsidRPr="00D1550C">
        <w:rPr>
          <w:sz w:val="26"/>
          <w:szCs w:val="26"/>
        </w:rPr>
        <w:t xml:space="preserve"> compared to </w:t>
      </w:r>
      <w:r w:rsidR="005833AA" w:rsidRPr="00D1550C">
        <w:rPr>
          <w:sz w:val="26"/>
          <w:szCs w:val="26"/>
        </w:rPr>
        <w:t>the same period of the last year</w:t>
      </w:r>
      <w:r w:rsidR="008B34C2" w:rsidRPr="00D1550C">
        <w:rPr>
          <w:sz w:val="26"/>
          <w:szCs w:val="26"/>
        </w:rPr>
        <w:t xml:space="preserve"> </w:t>
      </w:r>
      <w:r w:rsidRPr="00D1550C">
        <w:rPr>
          <w:sz w:val="26"/>
          <w:szCs w:val="26"/>
        </w:rPr>
        <w:t xml:space="preserve">and </w:t>
      </w:r>
      <w:r w:rsidR="008B34C2" w:rsidRPr="00D1550C">
        <w:rPr>
          <w:sz w:val="26"/>
          <w:szCs w:val="26"/>
        </w:rPr>
        <w:t xml:space="preserve">amounted to USD </w:t>
      </w:r>
      <w:r w:rsidR="00F353A5" w:rsidRPr="00D1550C">
        <w:rPr>
          <w:sz w:val="26"/>
          <w:szCs w:val="26"/>
        </w:rPr>
        <w:t>342</w:t>
      </w:r>
      <w:r w:rsidR="00D4724D" w:rsidRPr="00D1550C">
        <w:rPr>
          <w:sz w:val="26"/>
          <w:szCs w:val="26"/>
        </w:rPr>
        <w:t>.</w:t>
      </w:r>
      <w:r w:rsidR="00F353A5" w:rsidRPr="00D1550C">
        <w:rPr>
          <w:sz w:val="26"/>
          <w:szCs w:val="26"/>
        </w:rPr>
        <w:t>4</w:t>
      </w:r>
      <w:r w:rsidR="008B34C2" w:rsidRPr="00D1550C">
        <w:rPr>
          <w:sz w:val="26"/>
          <w:szCs w:val="26"/>
        </w:rPr>
        <w:t xml:space="preserve"> </w:t>
      </w:r>
      <w:r w:rsidR="00771824" w:rsidRPr="00D1550C">
        <w:rPr>
          <w:sz w:val="26"/>
          <w:szCs w:val="26"/>
        </w:rPr>
        <w:t>million. This</w:t>
      </w:r>
      <w:r w:rsidR="005906C1" w:rsidRPr="00D1550C">
        <w:rPr>
          <w:sz w:val="26"/>
          <w:szCs w:val="26"/>
        </w:rPr>
        <w:t xml:space="preserve"> is due to </w:t>
      </w:r>
      <w:r w:rsidR="00A56078" w:rsidRPr="00D1550C">
        <w:rPr>
          <w:sz w:val="26"/>
          <w:szCs w:val="26"/>
        </w:rPr>
        <w:t xml:space="preserve">advance </w:t>
      </w:r>
      <w:r w:rsidRPr="00D1550C">
        <w:rPr>
          <w:sz w:val="26"/>
          <w:szCs w:val="26"/>
        </w:rPr>
        <w:t>payment</w:t>
      </w:r>
      <w:r w:rsidR="00A56078">
        <w:rPr>
          <w:sz w:val="26"/>
          <w:szCs w:val="26"/>
        </w:rPr>
        <w:t>s</w:t>
      </w:r>
      <w:r w:rsidRPr="00D1550C">
        <w:rPr>
          <w:sz w:val="26"/>
          <w:szCs w:val="26"/>
        </w:rPr>
        <w:t xml:space="preserve"> by nonresidents under export contracts and the </w:t>
      </w:r>
      <w:r w:rsidR="00A56078">
        <w:rPr>
          <w:sz w:val="26"/>
          <w:szCs w:val="26"/>
        </w:rPr>
        <w:t>increase</w:t>
      </w:r>
      <w:r w:rsidRPr="00D1550C">
        <w:rPr>
          <w:sz w:val="26"/>
          <w:szCs w:val="26"/>
        </w:rPr>
        <w:t xml:space="preserve"> of obligations payable by r</w:t>
      </w:r>
      <w:r w:rsidR="00FA2DF3" w:rsidRPr="00D1550C">
        <w:rPr>
          <w:sz w:val="26"/>
          <w:szCs w:val="26"/>
        </w:rPr>
        <w:t>es</w:t>
      </w:r>
      <w:r w:rsidR="00FA72BC" w:rsidRPr="00D1550C">
        <w:rPr>
          <w:sz w:val="26"/>
          <w:szCs w:val="26"/>
        </w:rPr>
        <w:t>idents under import contracts</w:t>
      </w:r>
      <w:r w:rsidR="00FA2DF3" w:rsidRPr="00D1550C">
        <w:rPr>
          <w:sz w:val="26"/>
          <w:szCs w:val="26"/>
        </w:rPr>
        <w:t xml:space="preserve">. </w:t>
      </w:r>
    </w:p>
    <w:p w:rsidR="009E4DBB" w:rsidRPr="00D1550C" w:rsidRDefault="009E4DBB" w:rsidP="000F401A">
      <w:pPr>
        <w:spacing w:before="120" w:line="288" w:lineRule="auto"/>
        <w:ind w:firstLine="709"/>
        <w:jc w:val="both"/>
        <w:rPr>
          <w:rFonts w:asciiTheme="minorHAnsi" w:hAnsiTheme="minorHAnsi" w:cstheme="minorHAnsi"/>
          <w:sz w:val="26"/>
          <w:szCs w:val="26"/>
        </w:rPr>
      </w:pPr>
    </w:p>
    <w:p w:rsidR="00FA2DF3" w:rsidRPr="00D1550C" w:rsidRDefault="00FA2DF3" w:rsidP="000F401A">
      <w:pPr>
        <w:spacing w:before="120" w:line="288" w:lineRule="auto"/>
        <w:ind w:firstLine="709"/>
        <w:jc w:val="both"/>
        <w:rPr>
          <w:rFonts w:asciiTheme="minorHAnsi" w:hAnsiTheme="minorHAnsi" w:cstheme="minorHAnsi"/>
          <w:sz w:val="26"/>
          <w:szCs w:val="26"/>
        </w:rPr>
      </w:pPr>
    </w:p>
    <w:p w:rsidR="008E5140" w:rsidRPr="00D1550C" w:rsidRDefault="008E5140" w:rsidP="00147844">
      <w:pPr>
        <w:spacing w:before="80" w:line="360" w:lineRule="auto"/>
        <w:ind w:firstLine="709"/>
        <w:jc w:val="right"/>
      </w:pPr>
    </w:p>
    <w:p w:rsidR="004474C4" w:rsidRPr="00D1550C" w:rsidRDefault="004474C4" w:rsidP="00147844">
      <w:pPr>
        <w:spacing w:before="80" w:line="360" w:lineRule="auto"/>
        <w:ind w:firstLine="709"/>
        <w:jc w:val="right"/>
      </w:pPr>
    </w:p>
    <w:p w:rsidR="00480EAE" w:rsidRPr="00D1550C" w:rsidRDefault="00B23450" w:rsidP="00147844">
      <w:pPr>
        <w:spacing w:before="80" w:line="360" w:lineRule="auto"/>
        <w:ind w:firstLine="709"/>
        <w:jc w:val="right"/>
      </w:pPr>
      <w:r w:rsidRPr="00D1550C">
        <w:lastRenderedPageBreak/>
        <w:t>Figure</w:t>
      </w:r>
      <w:r w:rsidR="00480EAE" w:rsidRPr="00D1550C">
        <w:t xml:space="preserve"> 1</w:t>
      </w:r>
      <w:r w:rsidR="00804478" w:rsidRPr="00D1550C">
        <w:t>6</w:t>
      </w:r>
    </w:p>
    <w:p w:rsidR="00480EAE" w:rsidRPr="00D1550C" w:rsidRDefault="00480EAE" w:rsidP="00147844">
      <w:pPr>
        <w:spacing w:before="80" w:line="360" w:lineRule="auto"/>
        <w:jc w:val="center"/>
        <w:rPr>
          <w:b/>
          <w:sz w:val="28"/>
          <w:szCs w:val="28"/>
        </w:rPr>
      </w:pPr>
      <w:r w:rsidRPr="00D1550C">
        <w:rPr>
          <w:b/>
          <w:sz w:val="28"/>
          <w:szCs w:val="28"/>
        </w:rPr>
        <w:t xml:space="preserve">NET CHANGES IN THE COMPOSITION OF “LOANS </w:t>
      </w:r>
      <w:r w:rsidRPr="00D1550C">
        <w:rPr>
          <w:rFonts w:cs="Calibri"/>
          <w:b/>
          <w:sz w:val="26"/>
          <w:szCs w:val="26"/>
        </w:rPr>
        <w:t>AND BORROWINGS</w:t>
      </w:r>
      <w:r w:rsidRPr="00D1550C">
        <w:rPr>
          <w:b/>
          <w:sz w:val="28"/>
          <w:szCs w:val="28"/>
        </w:rPr>
        <w:t>” COMPONENT</w:t>
      </w:r>
    </w:p>
    <w:p w:rsidR="00480EAE" w:rsidRPr="00D1550C" w:rsidRDefault="00480EAE" w:rsidP="005C27C6">
      <w:pPr>
        <w:spacing w:line="360" w:lineRule="auto"/>
        <w:ind w:firstLine="708"/>
        <w:jc w:val="right"/>
        <w:rPr>
          <w:i/>
          <w:sz w:val="20"/>
          <w:szCs w:val="20"/>
        </w:rPr>
      </w:pPr>
      <w:r w:rsidRPr="00D1550C">
        <w:rPr>
          <w:i/>
          <w:sz w:val="20"/>
          <w:szCs w:val="20"/>
        </w:rPr>
        <w:t>(mln. USD)</w:t>
      </w:r>
    </w:p>
    <w:p w:rsidR="00480EAE" w:rsidRPr="00D1550C" w:rsidRDefault="00796AAD" w:rsidP="005C27C6">
      <w:r w:rsidRPr="00D1550C">
        <w:rPr>
          <w:noProof/>
          <w:lang w:val="ru-RU"/>
        </w:rPr>
        <w:drawing>
          <wp:inline distT="0" distB="0" distL="0" distR="0" wp14:anchorId="49E58B96" wp14:editId="1CD92D97">
            <wp:extent cx="6368415" cy="3959749"/>
            <wp:effectExtent l="0" t="0" r="13335" b="3175"/>
            <wp:docPr id="40" name="Диаграмма 40">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3F38" w:rsidRPr="00D1550C" w:rsidRDefault="005C3C71" w:rsidP="000464BA">
      <w:pPr>
        <w:spacing w:before="120" w:after="120" w:line="288" w:lineRule="auto"/>
      </w:pPr>
      <w:r w:rsidRPr="00D1550C">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1"/>
      </w:tblGrid>
      <w:tr w:rsidR="00553F38" w:rsidRPr="00D1550C" w:rsidTr="00796AAD">
        <w:tc>
          <w:tcPr>
            <w:tcW w:w="9891" w:type="dxa"/>
            <w:tcBorders>
              <w:top w:val="double" w:sz="4" w:space="0" w:color="00B0F0"/>
              <w:left w:val="double" w:sz="4" w:space="0" w:color="00B0F0"/>
              <w:bottom w:val="double" w:sz="4" w:space="0" w:color="00B0F0"/>
              <w:right w:val="double" w:sz="4" w:space="0" w:color="00B0F0"/>
            </w:tcBorders>
            <w:shd w:val="clear" w:color="auto" w:fill="auto"/>
          </w:tcPr>
          <w:p w:rsidR="00553F38" w:rsidRPr="00D1550C" w:rsidRDefault="00553F38" w:rsidP="005C1D9A">
            <w:pPr>
              <w:spacing w:before="120" w:after="120" w:line="288" w:lineRule="auto"/>
              <w:ind w:left="306" w:right="298"/>
              <w:rPr>
                <w:b/>
              </w:rPr>
            </w:pPr>
            <w:r w:rsidRPr="00D1550C">
              <w:rPr>
                <w:b/>
              </w:rPr>
              <w:lastRenderedPageBreak/>
              <w:t>Insert 1. Operations on liabilities in financial account.</w:t>
            </w:r>
          </w:p>
          <w:p w:rsidR="005C1D9A" w:rsidRPr="00D1550C" w:rsidRDefault="00553F38" w:rsidP="005C1D9A">
            <w:pPr>
              <w:spacing w:before="120" w:after="120" w:line="288" w:lineRule="auto"/>
              <w:ind w:left="306" w:right="298" w:firstLine="709"/>
              <w:jc w:val="both"/>
            </w:pPr>
            <w:r w:rsidRPr="00D1550C">
              <w:t xml:space="preserve">The analysis of operations on liabilities in the financial account showed that flows on liabilities mainly consist of </w:t>
            </w:r>
            <w:r w:rsidR="00CA63AA" w:rsidRPr="00D1550C">
              <w:t>«</w:t>
            </w:r>
            <w:r w:rsidR="00AE1601" w:rsidRPr="00D1550C">
              <w:t>Loans and borrowings</w:t>
            </w:r>
            <w:r w:rsidR="00CA63AA" w:rsidRPr="00D1550C">
              <w:t>»</w:t>
            </w:r>
            <w:r w:rsidR="00AE1601" w:rsidRPr="00D1550C">
              <w:t xml:space="preserve"> and </w:t>
            </w:r>
            <w:r w:rsidR="00CA63AA" w:rsidRPr="00D1550C">
              <w:t>«</w:t>
            </w:r>
            <w:r w:rsidR="00480EAE" w:rsidRPr="00D1550C">
              <w:t>Foreign d</w:t>
            </w:r>
            <w:r w:rsidR="00CA63AA" w:rsidRPr="00D1550C">
              <w:t>irect investment»</w:t>
            </w:r>
            <w:r w:rsidRPr="00D1550C">
              <w:t xml:space="preserve">. </w:t>
            </w:r>
          </w:p>
          <w:p w:rsidR="00553F38" w:rsidRPr="00D47F96" w:rsidRDefault="00CA63AA" w:rsidP="005C1D9A">
            <w:pPr>
              <w:spacing w:before="120" w:after="120" w:line="288" w:lineRule="auto"/>
              <w:ind w:left="306" w:right="298" w:firstLine="709"/>
              <w:jc w:val="both"/>
            </w:pPr>
            <w:r w:rsidRPr="00D1550C">
              <w:t>For the period 2018-20</w:t>
            </w:r>
            <w:r w:rsidR="001166A5" w:rsidRPr="00D1550C">
              <w:t>20</w:t>
            </w:r>
            <w:r w:rsidR="00553F38" w:rsidRPr="00D1550C">
              <w:t xml:space="preserve">, share </w:t>
            </w:r>
            <w:r w:rsidRPr="00D1550C">
              <w:t>of «Loans and borrowings» prevailed over «Direct investments»</w:t>
            </w:r>
            <w:r w:rsidR="00553F38" w:rsidRPr="00D1550C">
              <w:t>. This phenomenon is mainly due to an increase in borrowing by the general government sector in order to finance state targeted programs for the development of industries and regions.</w:t>
            </w:r>
            <w:r w:rsidR="00F20AF3" w:rsidRPr="00D1550C">
              <w:t xml:space="preserve"> Also, the volume of foreign direct investment decreased in 2018 due to increase in payments in the framework of the PSA</w:t>
            </w:r>
            <w:r w:rsidR="00D47F96">
              <w:t xml:space="preserve"> and during pandemic the highest relative increase in contribution was observed on “Loans and borrowings”.</w:t>
            </w:r>
          </w:p>
          <w:p w:rsidR="00A667C5" w:rsidRPr="00D1550C" w:rsidRDefault="00A667C5" w:rsidP="00A667C5">
            <w:pPr>
              <w:spacing w:before="120" w:after="120" w:line="288" w:lineRule="auto"/>
              <w:ind w:left="306" w:right="298" w:firstLine="709"/>
              <w:jc w:val="both"/>
            </w:pPr>
            <w:r w:rsidRPr="00D1550C">
              <w:t xml:space="preserve">According to the results for </w:t>
            </w:r>
            <w:r w:rsidR="004F7C46" w:rsidRPr="00D1550C">
              <w:t xml:space="preserve">the </w:t>
            </w:r>
            <w:r w:rsidRPr="00D1550C">
              <w:t>1</w:t>
            </w:r>
            <w:r w:rsidRPr="00D1550C">
              <w:rPr>
                <w:vertAlign w:val="superscript"/>
              </w:rPr>
              <w:t>st</w:t>
            </w:r>
            <w:r w:rsidRPr="00D1550C">
              <w:t xml:space="preserve"> </w:t>
            </w:r>
            <w:r w:rsidR="00342011" w:rsidRPr="00D1550C">
              <w:t>half</w:t>
            </w:r>
            <w:r w:rsidRPr="00D1550C">
              <w:t xml:space="preserve"> of 2021, despite the net growth in foreign direct investment, loans and borrowings reached the largest share </w:t>
            </w:r>
            <w:r w:rsidRPr="00D1550C">
              <w:rPr>
                <w:i/>
              </w:rPr>
              <w:t>(</w:t>
            </w:r>
            <w:r w:rsidR="008E2ECF" w:rsidRPr="00D1550C">
              <w:rPr>
                <w:i/>
              </w:rPr>
              <w:t>62</w:t>
            </w:r>
            <w:r w:rsidRPr="00D1550C">
              <w:rPr>
                <w:i/>
              </w:rPr>
              <w:t>%)</w:t>
            </w:r>
            <w:r w:rsidRPr="00D1550C">
              <w:t xml:space="preserve"> in the net growth of liabilities to the rest of the world</w:t>
            </w:r>
            <w:r w:rsidR="00771824" w:rsidRPr="00D1550C">
              <w:t xml:space="preserve"> due to active attraction of external debt by bank sector.</w:t>
            </w:r>
          </w:p>
          <w:p w:rsidR="00553F38" w:rsidRPr="00D1550C" w:rsidRDefault="00553F38" w:rsidP="004663D4">
            <w:pPr>
              <w:jc w:val="center"/>
              <w:rPr>
                <w:b/>
              </w:rPr>
            </w:pPr>
            <w:r w:rsidRPr="00D1550C">
              <w:rPr>
                <w:b/>
              </w:rPr>
              <w:t>Share of “Direct investments” and “Loans and borrowings”</w:t>
            </w:r>
          </w:p>
          <w:p w:rsidR="00553F38" w:rsidRPr="00D1550C" w:rsidRDefault="00553F38" w:rsidP="004663D4">
            <w:pPr>
              <w:jc w:val="center"/>
              <w:rPr>
                <w:b/>
              </w:rPr>
            </w:pPr>
            <w:r w:rsidRPr="00D1550C">
              <w:rPr>
                <w:b/>
              </w:rPr>
              <w:t>in the net growth of liabilities in the financial account</w:t>
            </w:r>
            <w:r w:rsidR="004F2252" w:rsidRPr="00D1550C">
              <w:rPr>
                <w:b/>
              </w:rPr>
              <w:t>*</w:t>
            </w:r>
          </w:p>
          <w:p w:rsidR="00553F38" w:rsidRPr="00D1550C" w:rsidRDefault="00553F38" w:rsidP="004663D4">
            <w:pPr>
              <w:ind w:firstLine="708"/>
              <w:rPr>
                <w:i/>
                <w:sz w:val="20"/>
                <w:szCs w:val="20"/>
              </w:rPr>
            </w:pPr>
          </w:p>
          <w:p w:rsidR="00553F38" w:rsidRPr="00D1550C" w:rsidRDefault="00796AAD" w:rsidP="00B13607">
            <w:pPr>
              <w:tabs>
                <w:tab w:val="left" w:pos="9177"/>
              </w:tabs>
              <w:spacing w:before="120" w:after="120" w:line="288" w:lineRule="auto"/>
              <w:jc w:val="center"/>
            </w:pPr>
            <w:r w:rsidRPr="00D1550C">
              <w:rPr>
                <w:noProof/>
                <w:lang w:val="ru-RU"/>
              </w:rPr>
              <w:drawing>
                <wp:inline distT="0" distB="0" distL="0" distR="0" wp14:anchorId="1799019F" wp14:editId="63DFEBE1">
                  <wp:extent cx="6138407" cy="3522345"/>
                  <wp:effectExtent l="0" t="0" r="15240" b="1905"/>
                  <wp:docPr id="42" name="Диаграмма 4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F2252" w:rsidRPr="00D1550C" w:rsidRDefault="004F2252" w:rsidP="00AE1601">
            <w:pPr>
              <w:tabs>
                <w:tab w:val="left" w:pos="9177"/>
              </w:tabs>
              <w:spacing w:line="276" w:lineRule="auto"/>
              <w:ind w:left="709"/>
              <w:rPr>
                <w:i/>
                <w:sz w:val="22"/>
                <w:szCs w:val="22"/>
              </w:rPr>
            </w:pPr>
            <w:r w:rsidRPr="00D1550C">
              <w:rPr>
                <w:i/>
                <w:sz w:val="22"/>
                <w:szCs w:val="22"/>
              </w:rPr>
              <w:t xml:space="preserve">*Diagram reflects components with </w:t>
            </w:r>
            <w:r w:rsidR="00C21822" w:rsidRPr="00D1550C">
              <w:rPr>
                <w:i/>
                <w:sz w:val="22"/>
                <w:szCs w:val="22"/>
              </w:rPr>
              <w:t>largest</w:t>
            </w:r>
            <w:r w:rsidRPr="00D1550C">
              <w:rPr>
                <w:i/>
                <w:sz w:val="22"/>
                <w:szCs w:val="22"/>
              </w:rPr>
              <w:t xml:space="preserve"> share</w:t>
            </w:r>
            <w:r w:rsidR="00AE1601" w:rsidRPr="00D1550C">
              <w:rPr>
                <w:i/>
                <w:sz w:val="22"/>
                <w:szCs w:val="22"/>
              </w:rPr>
              <w:t>s</w:t>
            </w:r>
            <w:r w:rsidRPr="00D1550C">
              <w:rPr>
                <w:i/>
                <w:sz w:val="22"/>
                <w:szCs w:val="22"/>
              </w:rPr>
              <w:t>.</w:t>
            </w:r>
          </w:p>
          <w:p w:rsidR="0091147F" w:rsidRPr="00D1550C" w:rsidRDefault="0091147F" w:rsidP="00AE1601">
            <w:pPr>
              <w:tabs>
                <w:tab w:val="left" w:pos="9177"/>
              </w:tabs>
              <w:spacing w:line="276" w:lineRule="auto"/>
              <w:ind w:left="709"/>
              <w:rPr>
                <w:i/>
                <w:sz w:val="22"/>
                <w:szCs w:val="22"/>
              </w:rPr>
            </w:pPr>
            <w:r w:rsidRPr="00D1550C">
              <w:rPr>
                <w:i/>
                <w:sz w:val="22"/>
                <w:szCs w:val="22"/>
              </w:rPr>
              <w:t>Transaction data are shown on a net basis.</w:t>
            </w:r>
          </w:p>
          <w:p w:rsidR="004F2252" w:rsidRPr="00D1550C" w:rsidRDefault="004F2252" w:rsidP="00AE1601">
            <w:pPr>
              <w:tabs>
                <w:tab w:val="left" w:pos="9177"/>
              </w:tabs>
              <w:spacing w:line="276" w:lineRule="auto"/>
              <w:ind w:left="709"/>
              <w:rPr>
                <w:i/>
                <w:sz w:val="22"/>
                <w:szCs w:val="22"/>
              </w:rPr>
            </w:pPr>
            <w:r w:rsidRPr="00D1550C">
              <w:rPr>
                <w:i/>
                <w:sz w:val="22"/>
                <w:szCs w:val="22"/>
              </w:rPr>
              <w:t>Direct investments include loans from parent companies.</w:t>
            </w:r>
          </w:p>
          <w:p w:rsidR="004F2252" w:rsidRPr="00D1550C" w:rsidRDefault="00600096" w:rsidP="00600096">
            <w:pPr>
              <w:tabs>
                <w:tab w:val="left" w:pos="9177"/>
              </w:tabs>
              <w:spacing w:line="276" w:lineRule="auto"/>
              <w:ind w:left="709"/>
            </w:pPr>
            <w:r w:rsidRPr="00D1550C">
              <w:rPr>
                <w:i/>
                <w:sz w:val="22"/>
                <w:szCs w:val="22"/>
              </w:rPr>
              <w:t>L</w:t>
            </w:r>
            <w:r w:rsidR="004F2252" w:rsidRPr="00D1550C">
              <w:rPr>
                <w:i/>
                <w:sz w:val="22"/>
                <w:szCs w:val="22"/>
              </w:rPr>
              <w:t>oan</w:t>
            </w:r>
            <w:r w:rsidRPr="00D1550C">
              <w:rPr>
                <w:i/>
                <w:sz w:val="22"/>
                <w:szCs w:val="22"/>
              </w:rPr>
              <w:t xml:space="preserve"> disbursements</w:t>
            </w:r>
            <w:r w:rsidR="004F2252" w:rsidRPr="00D1550C">
              <w:rPr>
                <w:i/>
                <w:sz w:val="22"/>
                <w:szCs w:val="22"/>
              </w:rPr>
              <w:t xml:space="preserve"> exclude loans from parent companies.</w:t>
            </w:r>
          </w:p>
        </w:tc>
      </w:tr>
    </w:tbl>
    <w:p w:rsidR="00E41208" w:rsidRPr="00D1550C" w:rsidRDefault="00E41208">
      <w:r w:rsidRPr="00D1550C">
        <w:br w:type="page"/>
      </w:r>
    </w:p>
    <w:p w:rsidR="00407669" w:rsidRPr="00D1550C" w:rsidRDefault="00AC0959" w:rsidP="00274B89">
      <w:pPr>
        <w:pStyle w:val="1"/>
        <w:spacing w:after="360"/>
        <w:ind w:left="709"/>
        <w:rPr>
          <w:rFonts w:ascii="Calibri" w:hAnsi="Calibri"/>
          <w:lang w:val="en-US"/>
        </w:rPr>
      </w:pPr>
      <w:bookmarkStart w:id="13" w:name="_Toc83291122"/>
      <w:r w:rsidRPr="00D1550C">
        <w:rPr>
          <w:rFonts w:ascii="Calibri" w:hAnsi="Calibri"/>
          <w:lang w:val="en-US"/>
        </w:rPr>
        <w:lastRenderedPageBreak/>
        <w:t>II. </w:t>
      </w:r>
      <w:r w:rsidR="00BA0231" w:rsidRPr="00D1550C">
        <w:rPr>
          <w:rFonts w:ascii="Calibri" w:hAnsi="Calibri" w:cs="Calibri"/>
          <w:lang w:val="en-US"/>
        </w:rPr>
        <w:t>INTERNATIONAL INVESTMENT POSITION OF THE REPUBLIC OF UZBEKISTAN</w:t>
      </w:r>
      <w:bookmarkEnd w:id="13"/>
    </w:p>
    <w:p w:rsidR="005906C1" w:rsidRPr="00D1550C" w:rsidRDefault="001C758D" w:rsidP="00502D4D">
      <w:pPr>
        <w:spacing w:before="120" w:line="288" w:lineRule="auto"/>
        <w:ind w:firstLine="709"/>
        <w:jc w:val="both"/>
        <w:rPr>
          <w:rFonts w:cs="Calibri"/>
          <w:sz w:val="26"/>
          <w:szCs w:val="26"/>
        </w:rPr>
      </w:pPr>
      <w:r w:rsidRPr="00D1550C">
        <w:rPr>
          <w:sz w:val="26"/>
          <w:szCs w:val="26"/>
        </w:rPr>
        <w:t>For 1</w:t>
      </w:r>
      <w:r w:rsidRPr="00D1550C">
        <w:rPr>
          <w:sz w:val="26"/>
          <w:szCs w:val="26"/>
          <w:vertAlign w:val="superscript"/>
        </w:rPr>
        <w:t>st</w:t>
      </w:r>
      <w:r w:rsidR="00D34E5F" w:rsidRPr="00D1550C">
        <w:rPr>
          <w:sz w:val="26"/>
          <w:szCs w:val="26"/>
        </w:rPr>
        <w:t xml:space="preserve"> half</w:t>
      </w:r>
      <w:r w:rsidRPr="00D1550C">
        <w:rPr>
          <w:sz w:val="26"/>
          <w:szCs w:val="26"/>
        </w:rPr>
        <w:t xml:space="preserve"> of 2021, the total volume of foreign assets and external liabilities of the country amounted to USD </w:t>
      </w:r>
      <w:r w:rsidR="00D34E5F" w:rsidRPr="00D1550C">
        <w:rPr>
          <w:sz w:val="26"/>
          <w:szCs w:val="26"/>
        </w:rPr>
        <w:t>66</w:t>
      </w:r>
      <w:r w:rsidR="00031783" w:rsidRPr="00D1550C">
        <w:rPr>
          <w:sz w:val="26"/>
          <w:szCs w:val="26"/>
        </w:rPr>
        <w:t>.</w:t>
      </w:r>
      <w:r w:rsidR="00D34E5F" w:rsidRPr="00D1550C">
        <w:rPr>
          <w:sz w:val="26"/>
          <w:szCs w:val="26"/>
        </w:rPr>
        <w:t>1</w:t>
      </w:r>
      <w:r w:rsidRPr="00D1550C">
        <w:rPr>
          <w:sz w:val="26"/>
          <w:szCs w:val="26"/>
        </w:rPr>
        <w:t xml:space="preserve"> billion and </w:t>
      </w:r>
      <w:r w:rsidR="00D34E5F" w:rsidRPr="00D1550C">
        <w:rPr>
          <w:sz w:val="26"/>
          <w:szCs w:val="26"/>
        </w:rPr>
        <w:t>USD 48</w:t>
      </w:r>
      <w:r w:rsidR="00031783" w:rsidRPr="00D1550C">
        <w:rPr>
          <w:sz w:val="26"/>
          <w:szCs w:val="26"/>
        </w:rPr>
        <w:t>.</w:t>
      </w:r>
      <w:r w:rsidR="00D34E5F" w:rsidRPr="00D1550C">
        <w:rPr>
          <w:sz w:val="26"/>
          <w:szCs w:val="26"/>
        </w:rPr>
        <w:t>3</w:t>
      </w:r>
      <w:r w:rsidRPr="00D1550C">
        <w:rPr>
          <w:sz w:val="26"/>
          <w:szCs w:val="26"/>
        </w:rPr>
        <w:t xml:space="preserve"> billion respectively. In this regard, the net investment position of the Republic of Uzbekistan decreased by USD </w:t>
      </w:r>
      <w:r w:rsidR="00421FE8" w:rsidRPr="00D1550C">
        <w:rPr>
          <w:sz w:val="26"/>
          <w:szCs w:val="26"/>
        </w:rPr>
        <w:t xml:space="preserve">12 percent or </w:t>
      </w:r>
      <w:r w:rsidR="00031783" w:rsidRPr="00D1550C">
        <w:rPr>
          <w:sz w:val="26"/>
          <w:szCs w:val="26"/>
        </w:rPr>
        <w:br/>
        <w:t xml:space="preserve">USD </w:t>
      </w:r>
      <w:r w:rsidR="00421FE8" w:rsidRPr="00D1550C">
        <w:rPr>
          <w:sz w:val="26"/>
          <w:szCs w:val="26"/>
        </w:rPr>
        <w:t>2</w:t>
      </w:r>
      <w:r w:rsidR="00031783" w:rsidRPr="00D1550C">
        <w:rPr>
          <w:sz w:val="26"/>
          <w:szCs w:val="26"/>
        </w:rPr>
        <w:t>.</w:t>
      </w:r>
      <w:r w:rsidR="00421FE8" w:rsidRPr="00D1550C">
        <w:rPr>
          <w:sz w:val="26"/>
          <w:szCs w:val="26"/>
        </w:rPr>
        <w:t>4</w:t>
      </w:r>
      <w:r w:rsidRPr="00D1550C">
        <w:rPr>
          <w:sz w:val="26"/>
          <w:szCs w:val="26"/>
        </w:rPr>
        <w:t xml:space="preserve"> billion and as of </w:t>
      </w:r>
      <w:r w:rsidR="00421FE8" w:rsidRPr="00D1550C">
        <w:rPr>
          <w:sz w:val="26"/>
          <w:szCs w:val="26"/>
        </w:rPr>
        <w:t>July</w:t>
      </w:r>
      <w:r w:rsidRPr="00D1550C">
        <w:rPr>
          <w:sz w:val="26"/>
          <w:szCs w:val="26"/>
        </w:rPr>
        <w:t xml:space="preserve"> 1 of this year amounted to USD </w:t>
      </w:r>
      <w:r w:rsidR="00421FE8" w:rsidRPr="00D1550C">
        <w:rPr>
          <w:sz w:val="26"/>
          <w:szCs w:val="26"/>
        </w:rPr>
        <w:t>17</w:t>
      </w:r>
      <w:r w:rsidR="00031783" w:rsidRPr="00D1550C">
        <w:rPr>
          <w:sz w:val="26"/>
          <w:szCs w:val="26"/>
        </w:rPr>
        <w:t>.</w:t>
      </w:r>
      <w:r w:rsidR="00421FE8" w:rsidRPr="00D1550C">
        <w:rPr>
          <w:sz w:val="26"/>
          <w:szCs w:val="26"/>
        </w:rPr>
        <w:t>8</w:t>
      </w:r>
      <w:r w:rsidRPr="00D1550C">
        <w:rPr>
          <w:sz w:val="26"/>
          <w:szCs w:val="26"/>
        </w:rPr>
        <w:t xml:space="preserve"> billion</w:t>
      </w:r>
      <w:r w:rsidRPr="00D1550C">
        <w:rPr>
          <w:rFonts w:cs="Calibri"/>
          <w:sz w:val="26"/>
          <w:szCs w:val="26"/>
        </w:rPr>
        <w:t xml:space="preserve">. Analysis of changes in the net investment position for considered period showed that </w:t>
      </w:r>
      <w:r w:rsidR="00402DA8" w:rsidRPr="00D1550C">
        <w:rPr>
          <w:rFonts w:cs="Calibri"/>
          <w:sz w:val="26"/>
          <w:szCs w:val="26"/>
        </w:rPr>
        <w:t>the negative balance of the financial account is partially offset by non-operational changes</w:t>
      </w:r>
      <w:r w:rsidR="00402DA8" w:rsidRPr="00D1550C">
        <w:rPr>
          <w:rFonts w:cs="Calibri"/>
          <w:sz w:val="26"/>
          <w:szCs w:val="26"/>
          <w:vertAlign w:val="superscript"/>
        </w:rPr>
        <w:footnoteReference w:id="3"/>
      </w:r>
      <w:r w:rsidR="00402DA8" w:rsidRPr="00D1550C">
        <w:rPr>
          <w:rFonts w:cs="Calibri"/>
          <w:sz w:val="26"/>
          <w:szCs w:val="26"/>
        </w:rPr>
        <w:t>.</w:t>
      </w:r>
    </w:p>
    <w:p w:rsidR="00323299" w:rsidRPr="00D1550C" w:rsidRDefault="001C758D" w:rsidP="005906C1">
      <w:pPr>
        <w:spacing w:before="120" w:line="288" w:lineRule="auto"/>
        <w:ind w:firstLine="709"/>
        <w:jc w:val="both"/>
        <w:rPr>
          <w:rFonts w:cs="Calibri"/>
          <w:sz w:val="26"/>
          <w:szCs w:val="26"/>
        </w:rPr>
      </w:pPr>
      <w:r w:rsidRPr="00D1550C">
        <w:rPr>
          <w:rFonts w:cs="Calibri"/>
          <w:sz w:val="26"/>
          <w:szCs w:val="26"/>
        </w:rPr>
        <w:t>An analysis of the international investment position by sectors of the economy showed that for considered period, the general government sector</w:t>
      </w:r>
      <w:r w:rsidRPr="00D1550C">
        <w:rPr>
          <w:rFonts w:cs="Calibri"/>
          <w:sz w:val="26"/>
          <w:szCs w:val="26"/>
          <w:vertAlign w:val="superscript"/>
        </w:rPr>
        <w:footnoteReference w:id="4"/>
      </w:r>
      <w:r w:rsidRPr="00D1550C">
        <w:rPr>
          <w:rFonts w:cs="Calibri"/>
          <w:sz w:val="26"/>
          <w:szCs w:val="26"/>
        </w:rPr>
        <w:t xml:space="preserve"> and other sectors remained as «net creditor»</w:t>
      </w:r>
      <w:r w:rsidRPr="00D1550C">
        <w:rPr>
          <w:rFonts w:cs="Calibri"/>
          <w:sz w:val="26"/>
          <w:szCs w:val="26"/>
          <w:vertAlign w:val="superscript"/>
        </w:rPr>
        <w:t xml:space="preserve"> </w:t>
      </w:r>
      <w:r w:rsidRPr="00D1550C">
        <w:rPr>
          <w:rFonts w:cs="Calibri"/>
          <w:sz w:val="26"/>
          <w:szCs w:val="26"/>
          <w:vertAlign w:val="superscript"/>
        </w:rPr>
        <w:footnoteReference w:id="5"/>
      </w:r>
      <w:r w:rsidRPr="00D1550C">
        <w:rPr>
          <w:rFonts w:cs="Calibri"/>
          <w:sz w:val="26"/>
          <w:szCs w:val="26"/>
        </w:rPr>
        <w:t>, while banking sector was «net borrower».</w:t>
      </w:r>
      <w:r w:rsidR="005906C1" w:rsidRPr="00D1550C">
        <w:rPr>
          <w:rFonts w:cs="Calibri"/>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7</w:t>
      </w:r>
      <w:r w:rsidR="005906C1" w:rsidRPr="00D1550C">
        <w:rPr>
          <w:rFonts w:cs="Calibri"/>
          <w:color w:val="0070C0"/>
          <w:sz w:val="26"/>
          <w:szCs w:val="26"/>
        </w:rPr>
        <w:t>)</w:t>
      </w:r>
      <w:r w:rsidR="005906C1" w:rsidRPr="00D1550C">
        <w:rPr>
          <w:rFonts w:cs="Calibri"/>
          <w:sz w:val="26"/>
          <w:szCs w:val="26"/>
        </w:rPr>
        <w:t>.</w:t>
      </w:r>
    </w:p>
    <w:p w:rsidR="00005957" w:rsidRPr="00D1550C" w:rsidRDefault="00B23450" w:rsidP="00B75F3E">
      <w:pPr>
        <w:spacing w:before="80"/>
        <w:ind w:firstLine="708"/>
        <w:jc w:val="right"/>
      </w:pPr>
      <w:r w:rsidRPr="00D1550C">
        <w:t>Figure</w:t>
      </w:r>
      <w:r w:rsidR="00407669" w:rsidRPr="00D1550C">
        <w:t xml:space="preserve"> </w:t>
      </w:r>
      <w:r w:rsidR="005C3C71" w:rsidRPr="00D1550C">
        <w:t>1</w:t>
      </w:r>
      <w:r w:rsidR="00804478" w:rsidRPr="00D1550C">
        <w:t>7</w:t>
      </w:r>
    </w:p>
    <w:p w:rsidR="005473F5" w:rsidRPr="00D1550C" w:rsidRDefault="005473F5" w:rsidP="00B75F3E">
      <w:pPr>
        <w:spacing w:before="80"/>
        <w:jc w:val="center"/>
        <w:rPr>
          <w:rFonts w:cs="Calibri"/>
          <w:b/>
          <w:sz w:val="28"/>
          <w:szCs w:val="28"/>
        </w:rPr>
      </w:pPr>
      <w:r w:rsidRPr="00D1550C">
        <w:rPr>
          <w:rFonts w:cs="Calibri"/>
          <w:b/>
          <w:sz w:val="28"/>
          <w:szCs w:val="28"/>
        </w:rPr>
        <w:t>NET INVESTMEN</w:t>
      </w:r>
      <w:r w:rsidR="00B75F3E" w:rsidRPr="00D1550C">
        <w:rPr>
          <w:rFonts w:cs="Calibri"/>
          <w:b/>
          <w:sz w:val="28"/>
          <w:szCs w:val="28"/>
        </w:rPr>
        <w:t>T POSITION BY SECTOR OF ECONOMY</w:t>
      </w:r>
    </w:p>
    <w:p w:rsidR="00407669" w:rsidRPr="00D1550C" w:rsidRDefault="005C3C71" w:rsidP="00B75F3E">
      <w:pPr>
        <w:spacing w:before="80"/>
        <w:ind w:firstLine="708"/>
        <w:jc w:val="right"/>
        <w:rPr>
          <w:i/>
        </w:rPr>
      </w:pPr>
      <w:r w:rsidRPr="00D1550C">
        <w:rPr>
          <w:i/>
        </w:rPr>
        <w:t>(</w:t>
      </w:r>
      <w:r w:rsidR="005473F5" w:rsidRPr="00D1550C">
        <w:rPr>
          <w:i/>
        </w:rPr>
        <w:t>mln. USD</w:t>
      </w:r>
      <w:r w:rsidRPr="00D1550C">
        <w:rPr>
          <w:i/>
        </w:rPr>
        <w:t>)</w:t>
      </w:r>
    </w:p>
    <w:p w:rsidR="00407669" w:rsidRPr="00D1550C" w:rsidRDefault="00796AAD" w:rsidP="008A1174">
      <w:pPr>
        <w:spacing w:line="288" w:lineRule="auto"/>
        <w:jc w:val="both"/>
      </w:pPr>
      <w:r w:rsidRPr="00D1550C">
        <w:rPr>
          <w:noProof/>
          <w:lang w:val="ru-RU"/>
        </w:rPr>
        <w:drawing>
          <wp:inline distT="0" distB="0" distL="0" distR="0" wp14:anchorId="367975C0" wp14:editId="5457B401">
            <wp:extent cx="6408420" cy="4214191"/>
            <wp:effectExtent l="0" t="0" r="11430" b="15240"/>
            <wp:docPr id="44" name="Диаграмма 4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73F5" w:rsidRPr="00D1550C" w:rsidRDefault="005473F5" w:rsidP="005473F5">
      <w:pPr>
        <w:pStyle w:val="21"/>
        <w:rPr>
          <w:rFonts w:ascii="Calibri" w:hAnsi="Calibri" w:cs="Calibri"/>
          <w:lang w:val="en-US"/>
        </w:rPr>
      </w:pPr>
      <w:bookmarkStart w:id="14" w:name="_Toc4780090"/>
      <w:bookmarkStart w:id="15" w:name="_Toc83291123"/>
      <w:r w:rsidRPr="00D1550C">
        <w:rPr>
          <w:rFonts w:ascii="Calibri" w:hAnsi="Calibri" w:cs="Calibri"/>
          <w:lang w:val="en-US"/>
        </w:rPr>
        <w:lastRenderedPageBreak/>
        <w:t>GENERAL GOVERNMENT</w:t>
      </w:r>
      <w:bookmarkEnd w:id="14"/>
      <w:bookmarkEnd w:id="15"/>
    </w:p>
    <w:p w:rsidR="005473F5" w:rsidRPr="00D1550C" w:rsidRDefault="005473F5" w:rsidP="005473F5">
      <w:pPr>
        <w:spacing w:before="240" w:line="288" w:lineRule="auto"/>
        <w:ind w:firstLine="709"/>
        <w:jc w:val="both"/>
        <w:rPr>
          <w:rFonts w:cs="Calibri"/>
          <w:sz w:val="26"/>
          <w:szCs w:val="26"/>
          <w:u w:val="single"/>
        </w:rPr>
      </w:pPr>
      <w:r w:rsidRPr="00D1550C">
        <w:rPr>
          <w:rFonts w:cs="Calibri"/>
          <w:sz w:val="26"/>
          <w:szCs w:val="26"/>
          <w:u w:val="single"/>
        </w:rPr>
        <w:t>Assets</w:t>
      </w:r>
    </w:p>
    <w:p w:rsidR="000E7A65" w:rsidRPr="00D1550C" w:rsidRDefault="002B6F84" w:rsidP="000E7A65">
      <w:pPr>
        <w:spacing w:before="120" w:line="288" w:lineRule="auto"/>
        <w:ind w:firstLine="709"/>
        <w:jc w:val="both"/>
        <w:rPr>
          <w:sz w:val="26"/>
          <w:szCs w:val="26"/>
        </w:rPr>
      </w:pPr>
      <w:r w:rsidRPr="00D1550C">
        <w:rPr>
          <w:sz w:val="26"/>
          <w:szCs w:val="26"/>
        </w:rPr>
        <w:t xml:space="preserve">For </w:t>
      </w:r>
      <w:r w:rsidR="006C099F" w:rsidRPr="00D1550C">
        <w:rPr>
          <w:sz w:val="26"/>
          <w:szCs w:val="26"/>
        </w:rPr>
        <w:t xml:space="preserve">the </w:t>
      </w:r>
      <w:r w:rsidRPr="00D1550C">
        <w:rPr>
          <w:sz w:val="26"/>
          <w:szCs w:val="26"/>
        </w:rPr>
        <w:t>1</w:t>
      </w:r>
      <w:r w:rsidRPr="00D1550C">
        <w:rPr>
          <w:sz w:val="26"/>
          <w:szCs w:val="26"/>
          <w:vertAlign w:val="superscript"/>
        </w:rPr>
        <w:t>st</w:t>
      </w:r>
      <w:r w:rsidR="00CD1669" w:rsidRPr="00D1550C">
        <w:rPr>
          <w:sz w:val="26"/>
          <w:szCs w:val="26"/>
        </w:rPr>
        <w:t xml:space="preserve"> half</w:t>
      </w:r>
      <w:r w:rsidRPr="00D1550C">
        <w:rPr>
          <w:sz w:val="26"/>
          <w:szCs w:val="26"/>
        </w:rPr>
        <w:t xml:space="preserve"> of 2021, total assets of the general government sector decreased by </w:t>
      </w:r>
      <w:r w:rsidR="00CD1669" w:rsidRPr="00D1550C">
        <w:rPr>
          <w:sz w:val="26"/>
          <w:szCs w:val="26"/>
        </w:rPr>
        <w:br/>
        <w:t>2 percent or USD 755</w:t>
      </w:r>
      <w:r w:rsidR="00DC6771" w:rsidRPr="00D1550C">
        <w:rPr>
          <w:sz w:val="26"/>
          <w:szCs w:val="26"/>
        </w:rPr>
        <w:t>.</w:t>
      </w:r>
      <w:r w:rsidR="00CD1669" w:rsidRPr="00D1550C">
        <w:rPr>
          <w:sz w:val="26"/>
          <w:szCs w:val="26"/>
        </w:rPr>
        <w:t xml:space="preserve">3 million and amounted to </w:t>
      </w:r>
      <w:r w:rsidRPr="00D1550C">
        <w:rPr>
          <w:sz w:val="26"/>
          <w:szCs w:val="26"/>
        </w:rPr>
        <w:t xml:space="preserve">USD </w:t>
      </w:r>
      <w:r w:rsidR="00CD1669" w:rsidRPr="00D1550C">
        <w:rPr>
          <w:sz w:val="26"/>
          <w:szCs w:val="26"/>
        </w:rPr>
        <w:t>34</w:t>
      </w:r>
      <w:r w:rsidR="005428F3" w:rsidRPr="00D1550C">
        <w:rPr>
          <w:sz w:val="26"/>
          <w:szCs w:val="26"/>
        </w:rPr>
        <w:t>.</w:t>
      </w:r>
      <w:r w:rsidR="00CD1669" w:rsidRPr="00D1550C">
        <w:rPr>
          <w:sz w:val="26"/>
          <w:szCs w:val="26"/>
        </w:rPr>
        <w:t>1</w:t>
      </w:r>
      <w:r w:rsidRPr="00D1550C">
        <w:rPr>
          <w:sz w:val="26"/>
          <w:szCs w:val="26"/>
        </w:rPr>
        <w:t xml:space="preserve"> billion. </w:t>
      </w:r>
      <w:r w:rsidR="000E7A65" w:rsidRPr="00D1550C">
        <w:rPr>
          <w:sz w:val="26"/>
          <w:szCs w:val="26"/>
        </w:rPr>
        <w:t xml:space="preserve">This change was mainly due to a decrease in </w:t>
      </w:r>
      <w:r w:rsidR="00307022" w:rsidRPr="00D1550C">
        <w:rPr>
          <w:sz w:val="26"/>
          <w:szCs w:val="26"/>
        </w:rPr>
        <w:t>“</w:t>
      </w:r>
      <w:r w:rsidR="000E7A65" w:rsidRPr="00D1550C">
        <w:rPr>
          <w:sz w:val="26"/>
          <w:szCs w:val="26"/>
        </w:rPr>
        <w:t>currency and deposits</w:t>
      </w:r>
      <w:r w:rsidR="00307022" w:rsidRPr="00D1550C">
        <w:rPr>
          <w:sz w:val="26"/>
          <w:szCs w:val="26"/>
        </w:rPr>
        <w:t>” component of currency assets</w:t>
      </w:r>
      <w:r w:rsidR="000E7A65" w:rsidRPr="00D1550C">
        <w:rPr>
          <w:sz w:val="26"/>
          <w:szCs w:val="26"/>
        </w:rPr>
        <w:t xml:space="preserve"> by USD 766</w:t>
      </w:r>
      <w:r w:rsidR="00B02D6C" w:rsidRPr="00D1550C">
        <w:rPr>
          <w:sz w:val="26"/>
          <w:szCs w:val="26"/>
        </w:rPr>
        <w:t>.</w:t>
      </w:r>
      <w:r w:rsidR="000E7A65" w:rsidRPr="00D1550C">
        <w:rPr>
          <w:sz w:val="26"/>
          <w:szCs w:val="26"/>
        </w:rPr>
        <w:t>1 million.</w:t>
      </w:r>
    </w:p>
    <w:p w:rsidR="000221B9" w:rsidRPr="00BC5B34" w:rsidRDefault="00E75F2B" w:rsidP="000221B9">
      <w:pPr>
        <w:spacing w:before="120" w:line="288" w:lineRule="auto"/>
        <w:ind w:firstLine="709"/>
        <w:jc w:val="both"/>
        <w:rPr>
          <w:sz w:val="26"/>
          <w:szCs w:val="26"/>
        </w:rPr>
      </w:pPr>
      <w:r w:rsidRPr="00D1550C">
        <w:rPr>
          <w:sz w:val="26"/>
          <w:szCs w:val="26"/>
        </w:rPr>
        <w:t>From</w:t>
      </w:r>
      <w:r w:rsidR="002F49BF" w:rsidRPr="00D1550C">
        <w:rPr>
          <w:sz w:val="26"/>
          <w:szCs w:val="26"/>
        </w:rPr>
        <w:t xml:space="preserve"> the beginning of 2021, </w:t>
      </w:r>
      <w:r w:rsidR="002B6F84" w:rsidRPr="00D1550C">
        <w:rPr>
          <w:sz w:val="26"/>
          <w:szCs w:val="26"/>
        </w:rPr>
        <w:t>in international financial markets, the price of gold</w:t>
      </w:r>
      <w:r w:rsidR="00DA0D29" w:rsidRPr="00D1550C">
        <w:rPr>
          <w:sz w:val="26"/>
          <w:szCs w:val="26"/>
        </w:rPr>
        <w:t xml:space="preserve"> decreased from 1957</w:t>
      </w:r>
      <w:r w:rsidR="00A64CBF" w:rsidRPr="00D1550C">
        <w:rPr>
          <w:sz w:val="26"/>
          <w:szCs w:val="26"/>
        </w:rPr>
        <w:t>.</w:t>
      </w:r>
      <w:r w:rsidR="00DA0D29" w:rsidRPr="00D1550C">
        <w:rPr>
          <w:sz w:val="26"/>
          <w:szCs w:val="26"/>
        </w:rPr>
        <w:t>2 to 1757</w:t>
      </w:r>
      <w:r w:rsidR="00A64CBF" w:rsidRPr="00D1550C">
        <w:rPr>
          <w:sz w:val="26"/>
          <w:szCs w:val="26"/>
        </w:rPr>
        <w:t>.</w:t>
      </w:r>
      <w:r w:rsidR="00DA0D29" w:rsidRPr="00D1550C">
        <w:rPr>
          <w:sz w:val="26"/>
          <w:szCs w:val="26"/>
        </w:rPr>
        <w:t>8</w:t>
      </w:r>
      <w:r w:rsidR="002B6F84" w:rsidRPr="00D1550C">
        <w:rPr>
          <w:sz w:val="26"/>
          <w:szCs w:val="26"/>
        </w:rPr>
        <w:t xml:space="preserve"> dollars/</w:t>
      </w:r>
      <w:r w:rsidR="00C846CA" w:rsidRPr="00D1550C">
        <w:rPr>
          <w:sz w:val="26"/>
          <w:szCs w:val="26"/>
        </w:rPr>
        <w:t xml:space="preserve">troy </w:t>
      </w:r>
      <w:r w:rsidR="00DA0D29" w:rsidRPr="00D1550C">
        <w:rPr>
          <w:sz w:val="26"/>
          <w:szCs w:val="26"/>
        </w:rPr>
        <w:t>ounce,</w:t>
      </w:r>
      <w:r w:rsidR="00C846CA" w:rsidRPr="00D1550C">
        <w:rPr>
          <w:sz w:val="26"/>
          <w:szCs w:val="26"/>
        </w:rPr>
        <w:t xml:space="preserve"> which had </w:t>
      </w:r>
      <w:r w:rsidR="004474C4" w:rsidRPr="00D1550C">
        <w:rPr>
          <w:sz w:val="26"/>
          <w:szCs w:val="26"/>
        </w:rPr>
        <w:t>a negative</w:t>
      </w:r>
      <w:r w:rsidR="002B6F84" w:rsidRPr="00D1550C">
        <w:rPr>
          <w:sz w:val="26"/>
          <w:szCs w:val="26"/>
        </w:rPr>
        <w:t xml:space="preserve"> effect </w:t>
      </w:r>
      <w:r w:rsidRPr="00D1550C">
        <w:rPr>
          <w:sz w:val="26"/>
          <w:szCs w:val="26"/>
        </w:rPr>
        <w:t xml:space="preserve">on the investment position of the public sector management </w:t>
      </w:r>
      <w:r w:rsidR="005906C1" w:rsidRPr="00D1550C">
        <w:rPr>
          <w:color w:val="0070C0"/>
          <w:sz w:val="26"/>
          <w:szCs w:val="26"/>
        </w:rPr>
        <w:t>(Figure 1</w:t>
      </w:r>
      <w:r w:rsidR="00804478" w:rsidRPr="00D1550C">
        <w:rPr>
          <w:color w:val="0070C0"/>
          <w:sz w:val="26"/>
          <w:szCs w:val="26"/>
        </w:rPr>
        <w:t>8</w:t>
      </w:r>
      <w:r w:rsidR="005906C1" w:rsidRPr="00D1550C">
        <w:rPr>
          <w:color w:val="0070C0"/>
          <w:sz w:val="26"/>
          <w:szCs w:val="26"/>
        </w:rPr>
        <w:t>)</w:t>
      </w:r>
      <w:r w:rsidR="005906C1" w:rsidRPr="00D1550C">
        <w:rPr>
          <w:sz w:val="26"/>
          <w:szCs w:val="26"/>
        </w:rPr>
        <w:t>.</w:t>
      </w:r>
    </w:p>
    <w:p w:rsidR="00B60162" w:rsidRPr="00D1550C" w:rsidRDefault="00B23450" w:rsidP="00796AAD">
      <w:pPr>
        <w:spacing w:before="180"/>
        <w:ind w:firstLine="709"/>
        <w:jc w:val="right"/>
      </w:pPr>
      <w:r w:rsidRPr="00D1550C">
        <w:t>Figure</w:t>
      </w:r>
      <w:r w:rsidR="00B60162" w:rsidRPr="00D1550C">
        <w:t xml:space="preserve"> 1</w:t>
      </w:r>
      <w:r w:rsidR="00804478" w:rsidRPr="00D1550C">
        <w:t>8</w:t>
      </w:r>
    </w:p>
    <w:p w:rsidR="00B60162" w:rsidRPr="00D1550C" w:rsidRDefault="00BA15B1" w:rsidP="005906C1">
      <w:pPr>
        <w:spacing w:before="80" w:after="120"/>
        <w:jc w:val="center"/>
        <w:rPr>
          <w:rFonts w:cs="Calibri"/>
          <w:b/>
          <w:sz w:val="28"/>
          <w:szCs w:val="28"/>
        </w:rPr>
      </w:pPr>
      <w:r w:rsidRPr="00D1550C">
        <w:rPr>
          <w:rFonts w:cs="Calibri"/>
          <w:b/>
          <w:sz w:val="28"/>
          <w:szCs w:val="28"/>
        </w:rPr>
        <w:t>WORLD PRICE OF GOLD DYNAMICS</w:t>
      </w:r>
    </w:p>
    <w:p w:rsidR="00B60162" w:rsidRPr="00D1550C" w:rsidRDefault="00B60162" w:rsidP="00B60162">
      <w:pPr>
        <w:spacing w:before="80"/>
        <w:ind w:firstLine="708"/>
        <w:jc w:val="right"/>
        <w:rPr>
          <w:i/>
        </w:rPr>
      </w:pPr>
      <w:r w:rsidRPr="00D1550C">
        <w:rPr>
          <w:i/>
        </w:rPr>
        <w:t>(USD</w:t>
      </w:r>
      <w:r w:rsidR="000E16D0" w:rsidRPr="00D1550C">
        <w:rPr>
          <w:i/>
        </w:rPr>
        <w:t xml:space="preserve">/tr. </w:t>
      </w:r>
      <w:r w:rsidR="00BA15B1" w:rsidRPr="00D1550C">
        <w:rPr>
          <w:i/>
        </w:rPr>
        <w:t>ounce</w:t>
      </w:r>
      <w:r w:rsidRPr="00D1550C">
        <w:rPr>
          <w:i/>
        </w:rPr>
        <w:t>)</w:t>
      </w:r>
    </w:p>
    <w:p w:rsidR="00B60162" w:rsidRPr="00D1550C" w:rsidRDefault="00DE7623" w:rsidP="003E3000">
      <w:pPr>
        <w:spacing w:before="120" w:line="288" w:lineRule="auto"/>
        <w:jc w:val="both"/>
        <w:rPr>
          <w:rFonts w:cs="Calibri"/>
          <w:sz w:val="26"/>
          <w:szCs w:val="26"/>
        </w:rPr>
      </w:pPr>
      <w:r w:rsidRPr="00D1550C">
        <w:rPr>
          <w:noProof/>
          <w:lang w:val="ru-RU"/>
        </w:rPr>
        <mc:AlternateContent>
          <mc:Choice Requires="wps">
            <w:drawing>
              <wp:anchor distT="0" distB="0" distL="114300" distR="114300" simplePos="0" relativeHeight="251721728" behindDoc="0" locked="0" layoutInCell="1" allowOverlap="1" wp14:anchorId="48117618" wp14:editId="60EC494A">
                <wp:simplePos x="0" y="0"/>
                <wp:positionH relativeFrom="column">
                  <wp:posOffset>3118485</wp:posOffset>
                </wp:positionH>
                <wp:positionV relativeFrom="paragraph">
                  <wp:posOffset>2076616</wp:posOffset>
                </wp:positionV>
                <wp:extent cx="552734" cy="259307"/>
                <wp:effectExtent l="0" t="0" r="0" b="0"/>
                <wp:wrapNone/>
                <wp:docPr id="29" name="Прямоугольник 29"/>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B09" w:rsidRPr="001B77D9" w:rsidRDefault="00461B09" w:rsidP="00DE762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17618" id="Прямоугольник 29" o:spid="_x0000_s1027" style="position:absolute;left:0;text-align:left;margin-left:245.55pt;margin-top:163.5pt;width:43.5pt;height:2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" filled="f" stroked="f" strokeweight="1pt">
                <v:textbox>
                  <w:txbxContent>
                    <w:p w:rsidR="00461B09" w:rsidRPr="001B77D9" w:rsidRDefault="00461B09" w:rsidP="00DE762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v:textbox>
              </v:rect>
            </w:pict>
          </mc:Fallback>
        </mc:AlternateContent>
      </w:r>
      <w:r w:rsidRPr="00D1550C">
        <w:rPr>
          <w:noProof/>
          <w:lang w:val="ru-RU"/>
        </w:rPr>
        <mc:AlternateContent>
          <mc:Choice Requires="wps">
            <w:drawing>
              <wp:anchor distT="0" distB="0" distL="114300" distR="114300" simplePos="0" relativeHeight="251719680" behindDoc="0" locked="0" layoutInCell="1" allowOverlap="1" wp14:anchorId="0AADEDCB" wp14:editId="4D883A05">
                <wp:simplePos x="0" y="0"/>
                <wp:positionH relativeFrom="column">
                  <wp:posOffset>5778500</wp:posOffset>
                </wp:positionH>
                <wp:positionV relativeFrom="paragraph">
                  <wp:posOffset>1666875</wp:posOffset>
                </wp:positionV>
                <wp:extent cx="552734" cy="259307"/>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B09" w:rsidRPr="001B77D9" w:rsidRDefault="00461B09" w:rsidP="00DE762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758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DEDCB" id="Прямоугольник 25" o:spid="_x0000_s1028" style="position:absolute;left:0;text-align:left;margin-left:455pt;margin-top:131.25pt;width:43.5pt;height:2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" filled="f" stroked="f" strokeweight="1pt">
                <v:textbox>
                  <w:txbxContent>
                    <w:p w:rsidR="00461B09" w:rsidRPr="001B77D9" w:rsidRDefault="00461B09" w:rsidP="00DE762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758</w:t>
                      </w:r>
                    </w:p>
                  </w:txbxContent>
                </v:textbox>
              </v:rect>
            </w:pict>
          </mc:Fallback>
        </mc:AlternateContent>
      </w:r>
      <w:r w:rsidR="00804478" w:rsidRPr="00D1550C">
        <w:rPr>
          <w:noProof/>
          <w:lang w:val="ru-RU"/>
        </w:rPr>
        <mc:AlternateContent>
          <mc:Choice Requires="wps">
            <w:drawing>
              <wp:anchor distT="0" distB="0" distL="114300" distR="114300" simplePos="0" relativeHeight="251708416" behindDoc="0" locked="0" layoutInCell="1" allowOverlap="1" wp14:anchorId="23F469B0" wp14:editId="72875BB4">
                <wp:simplePos x="0" y="0"/>
                <wp:positionH relativeFrom="column">
                  <wp:posOffset>555625</wp:posOffset>
                </wp:positionH>
                <wp:positionV relativeFrom="paragraph">
                  <wp:posOffset>163195</wp:posOffset>
                </wp:positionV>
                <wp:extent cx="552734" cy="259307"/>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B09" w:rsidRPr="00804478" w:rsidRDefault="00461B09" w:rsidP="001255A3">
                            <w:pPr>
                              <w:jc w:val="center"/>
                              <w:rPr>
                                <w:rFonts w:asciiTheme="minorHAnsi" w:hAnsiTheme="minorHAnsi" w:cstheme="minorHAnsi"/>
                                <w:b/>
                                <w:i/>
                                <w:color w:val="000000" w:themeColor="text1"/>
                                <w:sz w:val="20"/>
                                <w:szCs w:val="18"/>
                                <w:lang w:val="uz-Cyrl-UZ"/>
                              </w:rPr>
                            </w:pPr>
                            <w:r w:rsidRPr="00804478">
                              <w:rPr>
                                <w:rFonts w:asciiTheme="minorHAnsi" w:hAnsiTheme="minorHAnsi" w:cstheme="minorHAnsi"/>
                                <w:b/>
                                <w:i/>
                                <w:color w:val="000000" w:themeColor="text1"/>
                                <w:sz w:val="20"/>
                                <w:szCs w:val="18"/>
                                <w:lang w:val="uz-Cyrl-UZ"/>
                              </w:rPr>
                              <w:t>1 957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69B0" id="Прямоугольник 43" o:spid="_x0000_s1029" style="position:absolute;left:0;text-align:left;margin-left:43.75pt;margin-top:12.85pt;width:43.5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" filled="f" stroked="f" strokeweight="1pt">
                <v:textbox>
                  <w:txbxContent>
                    <w:p w:rsidR="00461B09" w:rsidRPr="00804478" w:rsidRDefault="00461B09" w:rsidP="001255A3">
                      <w:pPr>
                        <w:jc w:val="center"/>
                        <w:rPr>
                          <w:rFonts w:asciiTheme="minorHAnsi" w:hAnsiTheme="minorHAnsi" w:cstheme="minorHAnsi"/>
                          <w:b/>
                          <w:i/>
                          <w:color w:val="000000" w:themeColor="text1"/>
                          <w:sz w:val="20"/>
                          <w:szCs w:val="18"/>
                          <w:lang w:val="uz-Cyrl-UZ"/>
                        </w:rPr>
                      </w:pPr>
                      <w:r w:rsidRPr="00804478">
                        <w:rPr>
                          <w:rFonts w:asciiTheme="minorHAnsi" w:hAnsiTheme="minorHAnsi" w:cstheme="minorHAnsi"/>
                          <w:b/>
                          <w:i/>
                          <w:color w:val="000000" w:themeColor="text1"/>
                          <w:sz w:val="20"/>
                          <w:szCs w:val="18"/>
                          <w:lang w:val="uz-Cyrl-UZ"/>
                        </w:rPr>
                        <w:t>1 957</w:t>
                      </w:r>
                    </w:p>
                  </w:txbxContent>
                </v:textbox>
              </v:rect>
            </w:pict>
          </mc:Fallback>
        </mc:AlternateContent>
      </w:r>
      <w:r w:rsidRPr="00D1550C">
        <w:rPr>
          <w:noProof/>
          <w:lang w:val="ru-RU"/>
        </w:rPr>
        <w:drawing>
          <wp:inline distT="0" distB="0" distL="0" distR="0" wp14:anchorId="616C6DD8" wp14:editId="12BD83D8">
            <wp:extent cx="6400800" cy="3975652"/>
            <wp:effectExtent l="0" t="0" r="0" b="63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473F5" w:rsidRPr="00D1550C" w:rsidRDefault="005473F5" w:rsidP="00796AAD">
      <w:pPr>
        <w:spacing w:before="180" w:line="288" w:lineRule="auto"/>
        <w:ind w:firstLine="709"/>
        <w:jc w:val="both"/>
        <w:rPr>
          <w:rFonts w:cs="Calibri"/>
          <w:sz w:val="26"/>
          <w:szCs w:val="26"/>
          <w:u w:val="single"/>
        </w:rPr>
      </w:pPr>
      <w:r w:rsidRPr="00D1550C">
        <w:rPr>
          <w:rFonts w:cs="Calibri"/>
          <w:sz w:val="26"/>
          <w:szCs w:val="26"/>
          <w:u w:val="single"/>
        </w:rPr>
        <w:t>Liabilities</w:t>
      </w:r>
    </w:p>
    <w:p w:rsidR="002B6F84" w:rsidRPr="00D1550C" w:rsidRDefault="002B6F84" w:rsidP="003B1E10">
      <w:pPr>
        <w:spacing w:before="120" w:line="288" w:lineRule="auto"/>
        <w:ind w:firstLine="709"/>
        <w:jc w:val="both"/>
        <w:rPr>
          <w:sz w:val="26"/>
          <w:szCs w:val="26"/>
        </w:rPr>
      </w:pPr>
      <w:r w:rsidRPr="00D1550C">
        <w:rPr>
          <w:rFonts w:cs="Calibri"/>
          <w:sz w:val="26"/>
          <w:szCs w:val="26"/>
        </w:rPr>
        <w:t xml:space="preserve">Liabilities of general government mainly consist of government external debt. </w:t>
      </w:r>
      <w:r w:rsidR="00BC5B34">
        <w:rPr>
          <w:rFonts w:cs="Calibri"/>
          <w:sz w:val="26"/>
          <w:szCs w:val="26"/>
        </w:rPr>
        <w:br/>
      </w:r>
      <w:r w:rsidRPr="00D1550C">
        <w:rPr>
          <w:sz w:val="26"/>
          <w:szCs w:val="26"/>
        </w:rPr>
        <w:t>So, liabilities to non-resi</w:t>
      </w:r>
      <w:r w:rsidR="00183C46" w:rsidRPr="00D1550C">
        <w:rPr>
          <w:sz w:val="26"/>
          <w:szCs w:val="26"/>
        </w:rPr>
        <w:t>dents on loans and borrowings in</w:t>
      </w:r>
      <w:r w:rsidRPr="00D1550C">
        <w:rPr>
          <w:sz w:val="26"/>
          <w:szCs w:val="26"/>
        </w:rPr>
        <w:t xml:space="preserve">creased by USD </w:t>
      </w:r>
      <w:r w:rsidR="00183C46" w:rsidRPr="00D1550C">
        <w:rPr>
          <w:sz w:val="26"/>
          <w:szCs w:val="26"/>
        </w:rPr>
        <w:t>315</w:t>
      </w:r>
      <w:r w:rsidR="00FB78A9" w:rsidRPr="00D1550C">
        <w:rPr>
          <w:sz w:val="26"/>
          <w:szCs w:val="26"/>
        </w:rPr>
        <w:t>.</w:t>
      </w:r>
      <w:r w:rsidR="00183C46" w:rsidRPr="00D1550C">
        <w:rPr>
          <w:sz w:val="26"/>
          <w:szCs w:val="26"/>
        </w:rPr>
        <w:t>1</w:t>
      </w:r>
      <w:r w:rsidRPr="00D1550C">
        <w:rPr>
          <w:sz w:val="26"/>
          <w:szCs w:val="26"/>
        </w:rPr>
        <w:t xml:space="preserve"> million due to attracting new borrowings, as well as a decrease in the price of Eurobonds </w:t>
      </w:r>
      <w:r w:rsidR="00183C46" w:rsidRPr="00D1550C">
        <w:rPr>
          <w:sz w:val="26"/>
          <w:szCs w:val="26"/>
        </w:rPr>
        <w:t>by USD 68</w:t>
      </w:r>
      <w:r w:rsidR="00FB78A9" w:rsidRPr="00D1550C">
        <w:rPr>
          <w:sz w:val="26"/>
          <w:szCs w:val="26"/>
        </w:rPr>
        <w:t>.</w:t>
      </w:r>
      <w:r w:rsidR="00183C46" w:rsidRPr="00D1550C">
        <w:rPr>
          <w:sz w:val="26"/>
          <w:szCs w:val="26"/>
        </w:rPr>
        <w:t xml:space="preserve">2 million </w:t>
      </w:r>
      <w:r w:rsidRPr="00D1550C">
        <w:rPr>
          <w:sz w:val="26"/>
          <w:szCs w:val="26"/>
        </w:rPr>
        <w:t>placed by the Ministry of Finance on international capital markets.</w:t>
      </w:r>
      <w:r w:rsidR="003B1E10" w:rsidRPr="00D1550C">
        <w:rPr>
          <w:sz w:val="26"/>
          <w:szCs w:val="26"/>
        </w:rPr>
        <w:t xml:space="preserve"> </w:t>
      </w:r>
      <w:r w:rsidR="003B1E10" w:rsidRPr="00D1550C">
        <w:rPr>
          <w:rFonts w:cs="Calibri"/>
          <w:sz w:val="26"/>
          <w:szCs w:val="26"/>
        </w:rPr>
        <w:t>Liabilities of general government increased by 1 percent or USD 243</w:t>
      </w:r>
      <w:r w:rsidR="00E7022C" w:rsidRPr="00D1550C">
        <w:rPr>
          <w:rFonts w:cs="Calibri"/>
          <w:sz w:val="26"/>
          <w:szCs w:val="26"/>
        </w:rPr>
        <w:t>.</w:t>
      </w:r>
      <w:r w:rsidR="003B1E10" w:rsidRPr="00D1550C">
        <w:rPr>
          <w:rFonts w:cs="Calibri"/>
          <w:sz w:val="26"/>
          <w:szCs w:val="26"/>
        </w:rPr>
        <w:t>2 million and as July 1 of this year amounted to USD 16</w:t>
      </w:r>
      <w:r w:rsidR="00E7022C" w:rsidRPr="00D1550C">
        <w:rPr>
          <w:rFonts w:cs="Calibri"/>
          <w:sz w:val="26"/>
          <w:szCs w:val="26"/>
        </w:rPr>
        <w:t>.</w:t>
      </w:r>
      <w:r w:rsidR="003B1E10" w:rsidRPr="00D1550C">
        <w:rPr>
          <w:rFonts w:cs="Calibri"/>
          <w:sz w:val="26"/>
          <w:szCs w:val="26"/>
        </w:rPr>
        <w:t>8 billion.</w:t>
      </w:r>
    </w:p>
    <w:p w:rsidR="005906C1" w:rsidRPr="00D1550C" w:rsidRDefault="005906C1">
      <w:pPr>
        <w:rPr>
          <w:sz w:val="26"/>
          <w:szCs w:val="26"/>
        </w:rPr>
      </w:pPr>
      <w:r w:rsidRPr="00D1550C">
        <w:rPr>
          <w:sz w:val="26"/>
          <w:szCs w:val="26"/>
        </w:rPr>
        <w:br w:type="page"/>
      </w:r>
    </w:p>
    <w:p w:rsidR="005473F5" w:rsidRPr="00D1550C" w:rsidRDefault="005473F5" w:rsidP="005473F5">
      <w:pPr>
        <w:pStyle w:val="21"/>
        <w:spacing w:before="120"/>
        <w:ind w:left="709"/>
        <w:rPr>
          <w:rFonts w:ascii="Calibri" w:hAnsi="Calibri" w:cs="Calibri"/>
          <w:lang w:val="en-US"/>
        </w:rPr>
      </w:pPr>
      <w:bookmarkStart w:id="16" w:name="_Toc83291124"/>
      <w:r w:rsidRPr="00D1550C">
        <w:rPr>
          <w:rFonts w:ascii="Calibri" w:hAnsi="Calibri" w:cs="Calibri"/>
          <w:lang w:val="en-US"/>
        </w:rPr>
        <w:lastRenderedPageBreak/>
        <w:t>BANKING SECTOR</w:t>
      </w:r>
      <w:bookmarkEnd w:id="16"/>
    </w:p>
    <w:p w:rsidR="005473F5" w:rsidRPr="00D1550C" w:rsidRDefault="005473F5" w:rsidP="005473F5">
      <w:pPr>
        <w:spacing w:before="120" w:line="288" w:lineRule="auto"/>
        <w:ind w:firstLine="708"/>
        <w:jc w:val="both"/>
        <w:rPr>
          <w:rFonts w:cs="Calibri"/>
          <w:sz w:val="26"/>
          <w:szCs w:val="26"/>
          <w:u w:val="single"/>
        </w:rPr>
      </w:pPr>
      <w:r w:rsidRPr="00D1550C">
        <w:rPr>
          <w:rFonts w:cs="Calibri"/>
          <w:sz w:val="26"/>
          <w:szCs w:val="26"/>
          <w:u w:val="single"/>
        </w:rPr>
        <w:t>Assets</w:t>
      </w:r>
    </w:p>
    <w:p w:rsidR="005875FA" w:rsidRPr="00D1550C" w:rsidRDefault="007C7935" w:rsidP="007C7935">
      <w:pPr>
        <w:spacing w:before="120" w:line="288" w:lineRule="auto"/>
        <w:ind w:firstLine="708"/>
        <w:jc w:val="both"/>
        <w:rPr>
          <w:rFonts w:cs="Calibri"/>
          <w:sz w:val="26"/>
          <w:szCs w:val="26"/>
        </w:rPr>
      </w:pPr>
      <w:r w:rsidRPr="00D1550C">
        <w:rPr>
          <w:rFonts w:cs="Calibri"/>
          <w:sz w:val="26"/>
          <w:szCs w:val="26"/>
        </w:rPr>
        <w:t xml:space="preserve">For </w:t>
      </w:r>
      <w:r w:rsidR="00226064" w:rsidRPr="00D1550C">
        <w:rPr>
          <w:rFonts w:cs="Calibri"/>
          <w:sz w:val="26"/>
          <w:szCs w:val="26"/>
        </w:rPr>
        <w:t xml:space="preserve">the </w:t>
      </w:r>
      <w:r w:rsidRPr="00D1550C">
        <w:rPr>
          <w:rFonts w:cs="Calibri"/>
          <w:sz w:val="26"/>
          <w:szCs w:val="26"/>
        </w:rPr>
        <w:t>1</w:t>
      </w:r>
      <w:r w:rsidRPr="00D1550C">
        <w:rPr>
          <w:rFonts w:cs="Calibri"/>
          <w:sz w:val="26"/>
          <w:szCs w:val="26"/>
          <w:vertAlign w:val="superscript"/>
        </w:rPr>
        <w:t>st</w:t>
      </w:r>
      <w:r w:rsidR="00030C7D" w:rsidRPr="00D1550C">
        <w:rPr>
          <w:rFonts w:cs="Calibri"/>
          <w:sz w:val="26"/>
          <w:szCs w:val="26"/>
        </w:rPr>
        <w:t xml:space="preserve"> half</w:t>
      </w:r>
      <w:r w:rsidRPr="00D1550C">
        <w:rPr>
          <w:rFonts w:cs="Calibri"/>
          <w:sz w:val="26"/>
          <w:szCs w:val="26"/>
        </w:rPr>
        <w:t xml:space="preserve"> of 2021 the external claims of commercial bank</w:t>
      </w:r>
      <w:r w:rsidR="00030C7D" w:rsidRPr="00D1550C">
        <w:rPr>
          <w:rFonts w:cs="Calibri"/>
          <w:sz w:val="26"/>
          <w:szCs w:val="26"/>
        </w:rPr>
        <w:t xml:space="preserve">s decreased by </w:t>
      </w:r>
      <w:r w:rsidR="00030C7D" w:rsidRPr="00D1550C">
        <w:rPr>
          <w:rFonts w:cs="Calibri"/>
          <w:sz w:val="26"/>
          <w:szCs w:val="26"/>
        </w:rPr>
        <w:br/>
        <w:t>USD 335</w:t>
      </w:r>
      <w:r w:rsidR="00E12AFE" w:rsidRPr="00D1550C">
        <w:rPr>
          <w:rFonts w:cs="Calibri"/>
          <w:sz w:val="26"/>
          <w:szCs w:val="26"/>
        </w:rPr>
        <w:t>.</w:t>
      </w:r>
      <w:r w:rsidR="00030C7D" w:rsidRPr="00D1550C">
        <w:rPr>
          <w:rFonts w:cs="Calibri"/>
          <w:sz w:val="26"/>
          <w:szCs w:val="26"/>
        </w:rPr>
        <w:t>9</w:t>
      </w:r>
      <w:r w:rsidRPr="00D1550C">
        <w:rPr>
          <w:rFonts w:cs="Calibri"/>
          <w:sz w:val="26"/>
          <w:szCs w:val="26"/>
        </w:rPr>
        <w:t xml:space="preserve"> million and </w:t>
      </w:r>
      <w:r w:rsidR="006F7319" w:rsidRPr="00D1550C">
        <w:rPr>
          <w:rFonts w:cs="Calibri"/>
          <w:sz w:val="26"/>
          <w:szCs w:val="26"/>
        </w:rPr>
        <w:t>accounted to</w:t>
      </w:r>
      <w:r w:rsidRPr="00D1550C">
        <w:rPr>
          <w:rFonts w:cs="Calibri"/>
          <w:sz w:val="26"/>
          <w:szCs w:val="26"/>
        </w:rPr>
        <w:t xml:space="preserve"> USD 2.</w:t>
      </w:r>
      <w:r w:rsidR="00030C7D" w:rsidRPr="00D1550C">
        <w:rPr>
          <w:rFonts w:cs="Calibri"/>
          <w:sz w:val="26"/>
          <w:szCs w:val="26"/>
        </w:rPr>
        <w:t>4</w:t>
      </w:r>
      <w:r w:rsidRPr="00D1550C">
        <w:rPr>
          <w:rFonts w:cs="Calibri"/>
          <w:sz w:val="26"/>
          <w:szCs w:val="26"/>
        </w:rPr>
        <w:t xml:space="preserve"> billion </w:t>
      </w:r>
      <w:r w:rsidR="00030C7D" w:rsidRPr="00D1550C">
        <w:rPr>
          <w:rFonts w:cs="Calibri"/>
          <w:sz w:val="26"/>
          <w:szCs w:val="26"/>
        </w:rPr>
        <w:t>as of Ju</w:t>
      </w:r>
      <w:r w:rsidRPr="00D1550C">
        <w:rPr>
          <w:rFonts w:cs="Calibri"/>
          <w:sz w:val="26"/>
          <w:szCs w:val="26"/>
        </w:rPr>
        <w:t>l</w:t>
      </w:r>
      <w:r w:rsidR="00030C7D" w:rsidRPr="00D1550C">
        <w:rPr>
          <w:rFonts w:cs="Calibri"/>
          <w:sz w:val="26"/>
          <w:szCs w:val="26"/>
        </w:rPr>
        <w:t>y</w:t>
      </w:r>
      <w:r w:rsidRPr="00D1550C">
        <w:rPr>
          <w:rFonts w:cs="Calibri"/>
          <w:sz w:val="26"/>
          <w:szCs w:val="26"/>
        </w:rPr>
        <w:t xml:space="preserve"> 1, 2021. The reason for this decrease is the increase in payments for import operations</w:t>
      </w:r>
      <w:r w:rsidR="009E4DBB" w:rsidRPr="00D1550C">
        <w:rPr>
          <w:rFonts w:cs="Calibri"/>
          <w:sz w:val="26"/>
          <w:szCs w:val="26"/>
        </w:rPr>
        <w:t>,</w:t>
      </w:r>
      <w:r w:rsidRPr="00D1550C">
        <w:rPr>
          <w:rFonts w:cs="Calibri"/>
          <w:sz w:val="26"/>
          <w:szCs w:val="26"/>
        </w:rPr>
        <w:t xml:space="preserve"> </w:t>
      </w:r>
      <w:r w:rsidR="009E4DBB" w:rsidRPr="00D1550C">
        <w:rPr>
          <w:rFonts w:cs="Calibri"/>
          <w:sz w:val="26"/>
          <w:szCs w:val="26"/>
        </w:rPr>
        <w:t xml:space="preserve">repayment of external debt by residents of the Republic of Uzbekistan </w:t>
      </w:r>
      <w:r w:rsidRPr="00D1550C">
        <w:rPr>
          <w:rFonts w:cs="Calibri"/>
          <w:sz w:val="26"/>
          <w:szCs w:val="26"/>
        </w:rPr>
        <w:t>and the reduction of foreign currency and deposits in nostro accounts</w:t>
      </w:r>
      <w:r w:rsidR="009E4DBB" w:rsidRPr="00D1550C">
        <w:rPr>
          <w:rFonts w:cs="Calibri"/>
          <w:sz w:val="26"/>
          <w:szCs w:val="26"/>
        </w:rPr>
        <w:t xml:space="preserve"> in foreign banks</w:t>
      </w:r>
      <w:r w:rsidRPr="00D1550C">
        <w:rPr>
          <w:rFonts w:cs="Calibri"/>
          <w:sz w:val="26"/>
          <w:szCs w:val="26"/>
        </w:rPr>
        <w:t xml:space="preserve">. </w:t>
      </w:r>
    </w:p>
    <w:p w:rsidR="005473F5" w:rsidRPr="00D1550C" w:rsidRDefault="005473F5" w:rsidP="005473F5">
      <w:pPr>
        <w:spacing w:before="120" w:line="288" w:lineRule="auto"/>
        <w:ind w:firstLine="709"/>
        <w:jc w:val="both"/>
        <w:rPr>
          <w:rFonts w:cs="Calibri"/>
          <w:sz w:val="26"/>
          <w:szCs w:val="26"/>
          <w:u w:val="single"/>
        </w:rPr>
      </w:pPr>
      <w:r w:rsidRPr="00D1550C">
        <w:rPr>
          <w:rFonts w:cs="Calibri"/>
          <w:sz w:val="26"/>
          <w:szCs w:val="26"/>
          <w:u w:val="single"/>
        </w:rPr>
        <w:t>Liabilities</w:t>
      </w:r>
    </w:p>
    <w:p w:rsidR="00226A30" w:rsidRPr="00D1550C" w:rsidRDefault="00226A30" w:rsidP="00226A30">
      <w:pPr>
        <w:spacing w:before="120" w:line="288" w:lineRule="auto"/>
        <w:ind w:firstLine="708"/>
        <w:jc w:val="both"/>
        <w:rPr>
          <w:rFonts w:cs="Calibri"/>
          <w:sz w:val="26"/>
          <w:szCs w:val="26"/>
        </w:rPr>
      </w:pPr>
      <w:r w:rsidRPr="00D1550C">
        <w:rPr>
          <w:rFonts w:cs="Calibri"/>
          <w:sz w:val="26"/>
          <w:szCs w:val="26"/>
        </w:rPr>
        <w:t xml:space="preserve">For </w:t>
      </w:r>
      <w:r w:rsidR="00A5171D" w:rsidRPr="00D1550C">
        <w:rPr>
          <w:rFonts w:cs="Calibri"/>
          <w:sz w:val="26"/>
          <w:szCs w:val="26"/>
        </w:rPr>
        <w:t xml:space="preserve">the </w:t>
      </w:r>
      <w:r w:rsidRPr="00D1550C">
        <w:rPr>
          <w:rFonts w:cs="Calibri"/>
          <w:sz w:val="26"/>
          <w:szCs w:val="26"/>
        </w:rPr>
        <w:t xml:space="preserve">considered period, external liabilities of the banking sector increased by </w:t>
      </w:r>
      <w:r w:rsidRPr="00D1550C">
        <w:rPr>
          <w:rFonts w:cs="Calibri"/>
          <w:sz w:val="26"/>
          <w:szCs w:val="26"/>
        </w:rPr>
        <w:br/>
        <w:t>USD</w:t>
      </w:r>
      <w:r w:rsidR="00D71464" w:rsidRPr="00D1550C">
        <w:rPr>
          <w:rFonts w:cs="Calibri"/>
          <w:sz w:val="26"/>
          <w:szCs w:val="26"/>
        </w:rPr>
        <w:t xml:space="preserve"> 791</w:t>
      </w:r>
      <w:r w:rsidR="006A4262" w:rsidRPr="00D1550C">
        <w:rPr>
          <w:rFonts w:cs="Calibri"/>
          <w:sz w:val="26"/>
          <w:szCs w:val="26"/>
        </w:rPr>
        <w:t>.</w:t>
      </w:r>
      <w:r w:rsidRPr="00D1550C">
        <w:rPr>
          <w:rFonts w:cs="Calibri"/>
          <w:sz w:val="26"/>
          <w:szCs w:val="26"/>
        </w:rPr>
        <w:t xml:space="preserve">5 million. </w:t>
      </w:r>
      <w:r w:rsidR="00D66C2D" w:rsidRPr="00D1550C">
        <w:rPr>
          <w:rFonts w:cs="Calibri"/>
          <w:sz w:val="26"/>
          <w:szCs w:val="26"/>
        </w:rPr>
        <w:t>T</w:t>
      </w:r>
      <w:r w:rsidRPr="00D1550C">
        <w:rPr>
          <w:rFonts w:cs="Calibri"/>
          <w:sz w:val="26"/>
          <w:szCs w:val="26"/>
        </w:rPr>
        <w:t>he growth of liabilities was observed in the components such as «Loans and borrowings» (</w:t>
      </w:r>
      <w:r w:rsidR="006F7319" w:rsidRPr="00D1550C">
        <w:rPr>
          <w:rFonts w:cs="Calibri"/>
          <w:i/>
          <w:sz w:val="26"/>
          <w:szCs w:val="26"/>
        </w:rPr>
        <w:t>increase</w:t>
      </w:r>
      <w:r w:rsidRPr="00D1550C">
        <w:rPr>
          <w:rFonts w:cs="Calibri"/>
          <w:i/>
          <w:sz w:val="26"/>
          <w:szCs w:val="26"/>
        </w:rPr>
        <w:t xml:space="preserve"> by USD </w:t>
      </w:r>
      <w:r w:rsidR="00D71464" w:rsidRPr="00D1550C">
        <w:rPr>
          <w:rFonts w:cs="Calibri"/>
          <w:i/>
          <w:sz w:val="26"/>
          <w:szCs w:val="26"/>
        </w:rPr>
        <w:t>611</w:t>
      </w:r>
      <w:r w:rsidR="006B7F5E" w:rsidRPr="00D1550C">
        <w:rPr>
          <w:rFonts w:cs="Calibri"/>
          <w:i/>
          <w:sz w:val="26"/>
          <w:szCs w:val="26"/>
        </w:rPr>
        <w:t>.</w:t>
      </w:r>
      <w:r w:rsidRPr="00D1550C">
        <w:rPr>
          <w:rFonts w:cs="Calibri"/>
          <w:i/>
          <w:sz w:val="26"/>
          <w:szCs w:val="26"/>
        </w:rPr>
        <w:t>0 million</w:t>
      </w:r>
      <w:r w:rsidRPr="00D1550C">
        <w:rPr>
          <w:rFonts w:cs="Calibri"/>
          <w:sz w:val="26"/>
          <w:szCs w:val="26"/>
        </w:rPr>
        <w:t>)</w:t>
      </w:r>
      <w:r w:rsidR="00D71464" w:rsidRPr="00D1550C">
        <w:rPr>
          <w:rFonts w:cs="Calibri"/>
          <w:sz w:val="26"/>
          <w:szCs w:val="26"/>
        </w:rPr>
        <w:t>,</w:t>
      </w:r>
      <w:r w:rsidRPr="00D1550C">
        <w:rPr>
          <w:rFonts w:cs="Calibri"/>
          <w:sz w:val="26"/>
          <w:szCs w:val="26"/>
        </w:rPr>
        <w:t xml:space="preserve"> «Foreign direct investment» (</w:t>
      </w:r>
      <w:r w:rsidRPr="00D1550C">
        <w:rPr>
          <w:rFonts w:cs="Calibri"/>
          <w:i/>
          <w:sz w:val="26"/>
          <w:szCs w:val="26"/>
        </w:rPr>
        <w:t xml:space="preserve">increase by USD </w:t>
      </w:r>
      <w:r w:rsidR="00D71464" w:rsidRPr="00D1550C">
        <w:rPr>
          <w:rFonts w:cs="Calibri"/>
          <w:i/>
          <w:sz w:val="26"/>
          <w:szCs w:val="26"/>
        </w:rPr>
        <w:t>90</w:t>
      </w:r>
      <w:r w:rsidR="006B7F5E" w:rsidRPr="00D1550C">
        <w:rPr>
          <w:rFonts w:cs="Calibri"/>
          <w:i/>
          <w:sz w:val="26"/>
          <w:szCs w:val="26"/>
        </w:rPr>
        <w:t>.</w:t>
      </w:r>
      <w:r w:rsidR="00D71464" w:rsidRPr="00D1550C">
        <w:rPr>
          <w:rFonts w:cs="Calibri"/>
          <w:i/>
          <w:sz w:val="26"/>
          <w:szCs w:val="26"/>
        </w:rPr>
        <w:t>2</w:t>
      </w:r>
      <w:r w:rsidRPr="00D1550C">
        <w:rPr>
          <w:rFonts w:cs="Calibri"/>
          <w:i/>
          <w:sz w:val="26"/>
          <w:szCs w:val="26"/>
        </w:rPr>
        <w:t xml:space="preserve"> million</w:t>
      </w:r>
      <w:r w:rsidR="00D71464" w:rsidRPr="00D1550C">
        <w:rPr>
          <w:rFonts w:cs="Calibri"/>
          <w:sz w:val="26"/>
          <w:szCs w:val="26"/>
        </w:rPr>
        <w:t>) and «Portfolio investment» (</w:t>
      </w:r>
      <w:r w:rsidR="00D71464" w:rsidRPr="00D1550C">
        <w:rPr>
          <w:rFonts w:cs="Calibri"/>
          <w:i/>
          <w:sz w:val="26"/>
          <w:szCs w:val="26"/>
        </w:rPr>
        <w:t>increased by USD 99</w:t>
      </w:r>
      <w:r w:rsidR="006B7F5E" w:rsidRPr="00D1550C">
        <w:rPr>
          <w:rFonts w:cs="Calibri"/>
          <w:i/>
          <w:sz w:val="26"/>
          <w:szCs w:val="26"/>
        </w:rPr>
        <w:t>.</w:t>
      </w:r>
      <w:r w:rsidR="00D71464" w:rsidRPr="00D1550C">
        <w:rPr>
          <w:rFonts w:cs="Calibri"/>
          <w:i/>
          <w:sz w:val="26"/>
          <w:szCs w:val="26"/>
        </w:rPr>
        <w:t>7 million</w:t>
      </w:r>
      <w:r w:rsidR="00D71464" w:rsidRPr="00D1550C">
        <w:rPr>
          <w:rFonts w:cs="Calibri"/>
          <w:sz w:val="26"/>
          <w:szCs w:val="26"/>
        </w:rPr>
        <w:t>).</w:t>
      </w:r>
    </w:p>
    <w:p w:rsidR="00105B97" w:rsidRPr="00D1550C" w:rsidRDefault="003D0EB0" w:rsidP="00226A30">
      <w:pPr>
        <w:spacing w:before="120" w:line="288" w:lineRule="auto"/>
        <w:ind w:firstLine="708"/>
        <w:jc w:val="both"/>
        <w:rPr>
          <w:rFonts w:cs="Calibri"/>
          <w:sz w:val="26"/>
          <w:szCs w:val="26"/>
        </w:rPr>
      </w:pPr>
      <w:r w:rsidRPr="00D1550C">
        <w:rPr>
          <w:sz w:val="26"/>
          <w:szCs w:val="26"/>
        </w:rPr>
        <w:t>A</w:t>
      </w:r>
      <w:r w:rsidR="00226A30" w:rsidRPr="00D1550C">
        <w:rPr>
          <w:sz w:val="26"/>
          <w:szCs w:val="26"/>
        </w:rPr>
        <w:t xml:space="preserve">s of </w:t>
      </w:r>
      <w:r w:rsidR="00F36E9B" w:rsidRPr="00D1550C">
        <w:rPr>
          <w:sz w:val="26"/>
          <w:szCs w:val="26"/>
        </w:rPr>
        <w:t>July</w:t>
      </w:r>
      <w:r w:rsidR="007833D1" w:rsidRPr="00D1550C">
        <w:rPr>
          <w:sz w:val="26"/>
          <w:szCs w:val="26"/>
        </w:rPr>
        <w:t xml:space="preserve"> 1</w:t>
      </w:r>
      <w:r w:rsidR="00226A30" w:rsidRPr="00D1550C">
        <w:rPr>
          <w:sz w:val="26"/>
          <w:szCs w:val="26"/>
        </w:rPr>
        <w:t xml:space="preserve"> 2021, 77</w:t>
      </w:r>
      <w:r w:rsidR="00A67A64" w:rsidRPr="00D1550C">
        <w:rPr>
          <w:sz w:val="26"/>
          <w:szCs w:val="26"/>
        </w:rPr>
        <w:t>.</w:t>
      </w:r>
      <w:r w:rsidR="00226A30" w:rsidRPr="00D1550C">
        <w:rPr>
          <w:sz w:val="26"/>
          <w:szCs w:val="26"/>
        </w:rPr>
        <w:t xml:space="preserve">0% of the banking sector’s liabilities to non-residents fall on </w:t>
      </w:r>
      <w:r w:rsidR="00523785" w:rsidRPr="00D1550C">
        <w:rPr>
          <w:sz w:val="26"/>
          <w:szCs w:val="26"/>
        </w:rPr>
        <w:br/>
      </w:r>
      <w:r w:rsidR="00226A30" w:rsidRPr="00D1550C">
        <w:rPr>
          <w:sz w:val="26"/>
          <w:szCs w:val="26"/>
        </w:rPr>
        <w:t>loans and borrowings from foreign banks and international financial institutions</w:t>
      </w:r>
      <w:r w:rsidR="005906C1" w:rsidRPr="00D1550C">
        <w:rPr>
          <w:rFonts w:cs="Calibri"/>
          <w:sz w:val="26"/>
          <w:szCs w:val="26"/>
        </w:rPr>
        <w:t xml:space="preserve"> </w:t>
      </w:r>
      <w:r w:rsidR="00523785" w:rsidRPr="00D1550C">
        <w:rPr>
          <w:rFonts w:cs="Calibri"/>
          <w:sz w:val="26"/>
          <w:szCs w:val="26"/>
        </w:rPr>
        <w:br/>
      </w:r>
      <w:r w:rsidR="005906C1" w:rsidRPr="00D1550C">
        <w:rPr>
          <w:rFonts w:cs="Calibri"/>
          <w:color w:val="0070C0"/>
          <w:sz w:val="26"/>
          <w:szCs w:val="26"/>
        </w:rPr>
        <w:t xml:space="preserve">(Figure </w:t>
      </w:r>
      <w:r w:rsidR="00804478" w:rsidRPr="00D1550C">
        <w:rPr>
          <w:rFonts w:cs="Calibri"/>
          <w:color w:val="0070C0"/>
          <w:sz w:val="26"/>
          <w:szCs w:val="26"/>
        </w:rPr>
        <w:t>19</w:t>
      </w:r>
      <w:r w:rsidR="005906C1" w:rsidRPr="00D1550C">
        <w:rPr>
          <w:rFonts w:cs="Calibri"/>
          <w:color w:val="0070C0"/>
          <w:sz w:val="26"/>
          <w:szCs w:val="26"/>
        </w:rPr>
        <w:t>)</w:t>
      </w:r>
      <w:r w:rsidR="005906C1" w:rsidRPr="00D1550C">
        <w:rPr>
          <w:rFonts w:cs="Calibri"/>
          <w:sz w:val="26"/>
          <w:szCs w:val="26"/>
        </w:rPr>
        <w:t>.</w:t>
      </w:r>
    </w:p>
    <w:tbl>
      <w:tblPr>
        <w:tblW w:w="15033" w:type="dxa"/>
        <w:tblLook w:val="04A0" w:firstRow="1" w:lastRow="0" w:firstColumn="1" w:lastColumn="0" w:noHBand="0" w:noVBand="1"/>
      </w:tblPr>
      <w:tblGrid>
        <w:gridCol w:w="5001"/>
        <w:gridCol w:w="5001"/>
        <w:gridCol w:w="30"/>
        <w:gridCol w:w="5001"/>
      </w:tblGrid>
      <w:tr w:rsidR="006843AB" w:rsidRPr="00D1550C" w:rsidTr="00C07411">
        <w:trPr>
          <w:gridAfter w:val="1"/>
          <w:wAfter w:w="5001" w:type="dxa"/>
        </w:trPr>
        <w:tc>
          <w:tcPr>
            <w:tcW w:w="10032" w:type="dxa"/>
            <w:gridSpan w:val="3"/>
            <w:shd w:val="clear" w:color="auto" w:fill="auto"/>
          </w:tcPr>
          <w:p w:rsidR="006843AB" w:rsidRPr="00D1550C" w:rsidRDefault="00B23450" w:rsidP="00C07411">
            <w:pPr>
              <w:spacing w:before="80" w:after="80"/>
              <w:jc w:val="right"/>
            </w:pPr>
            <w:r w:rsidRPr="00D1550C">
              <w:t>Figure</w:t>
            </w:r>
            <w:r w:rsidR="00B60162" w:rsidRPr="00D1550C">
              <w:t xml:space="preserve"> </w:t>
            </w:r>
            <w:r w:rsidR="00804478" w:rsidRPr="00D1550C">
              <w:t>19</w:t>
            </w:r>
          </w:p>
          <w:p w:rsidR="006843AB" w:rsidRPr="00D1550C" w:rsidRDefault="006843AB" w:rsidP="00C07411">
            <w:pPr>
              <w:spacing w:before="80" w:after="80"/>
              <w:jc w:val="center"/>
              <w:rPr>
                <w:b/>
                <w:sz w:val="28"/>
                <w:szCs w:val="28"/>
              </w:rPr>
            </w:pPr>
            <w:r w:rsidRPr="00D1550C">
              <w:rPr>
                <w:rFonts w:cs="Calibri"/>
                <w:b/>
                <w:sz w:val="28"/>
                <w:szCs w:val="28"/>
              </w:rPr>
              <w:t>STRUCTURE OF LIABILITIES OF BANKING SECTOR TO NON-RESIDENTS</w:t>
            </w:r>
          </w:p>
        </w:tc>
      </w:tr>
      <w:tr w:rsidR="006843AB" w:rsidRPr="00D1550C" w:rsidTr="00C07411">
        <w:tc>
          <w:tcPr>
            <w:tcW w:w="5001" w:type="dxa"/>
            <w:tcBorders>
              <w:top w:val="single" w:sz="4" w:space="0" w:color="auto"/>
            </w:tcBorders>
          </w:tcPr>
          <w:p w:rsidR="006843AB" w:rsidRPr="00D1550C" w:rsidRDefault="006843AB" w:rsidP="0013260C">
            <w:pPr>
              <w:spacing w:before="80" w:after="80"/>
              <w:jc w:val="center"/>
              <w:rPr>
                <w:rFonts w:cs="Calibri"/>
                <w:sz w:val="26"/>
                <w:szCs w:val="26"/>
              </w:rPr>
            </w:pPr>
            <w:r w:rsidRPr="00D1550C">
              <w:rPr>
                <w:rFonts w:cs="Calibri"/>
                <w:sz w:val="26"/>
                <w:szCs w:val="26"/>
              </w:rPr>
              <w:t xml:space="preserve">January 1, </w:t>
            </w:r>
            <w:r w:rsidR="0090110D" w:rsidRPr="00D1550C">
              <w:rPr>
                <w:rFonts w:cs="Calibri"/>
                <w:sz w:val="26"/>
                <w:szCs w:val="26"/>
              </w:rPr>
              <w:t>202</w:t>
            </w:r>
            <w:r w:rsidR="0013260C" w:rsidRPr="00D1550C">
              <w:rPr>
                <w:rFonts w:cs="Calibri"/>
                <w:sz w:val="26"/>
                <w:szCs w:val="26"/>
              </w:rPr>
              <w:t>1</w:t>
            </w:r>
          </w:p>
        </w:tc>
        <w:tc>
          <w:tcPr>
            <w:tcW w:w="5001" w:type="dxa"/>
            <w:tcBorders>
              <w:top w:val="single" w:sz="4" w:space="0" w:color="auto"/>
            </w:tcBorders>
          </w:tcPr>
          <w:p w:rsidR="006843AB" w:rsidRPr="00D1550C" w:rsidRDefault="00796AAD" w:rsidP="00571A93">
            <w:pPr>
              <w:spacing w:before="80" w:after="80"/>
              <w:jc w:val="center"/>
              <w:rPr>
                <w:rFonts w:cs="Calibri"/>
                <w:sz w:val="26"/>
                <w:szCs w:val="26"/>
              </w:rPr>
            </w:pPr>
            <w:r w:rsidRPr="00D1550C">
              <w:rPr>
                <w:rFonts w:cs="Calibri"/>
                <w:sz w:val="26"/>
                <w:szCs w:val="26"/>
              </w:rPr>
              <w:t>July</w:t>
            </w:r>
            <w:r w:rsidR="006843AB" w:rsidRPr="00D1550C">
              <w:rPr>
                <w:rFonts w:cs="Calibri"/>
                <w:sz w:val="26"/>
                <w:szCs w:val="26"/>
              </w:rPr>
              <w:t xml:space="preserve"> 1, 202</w:t>
            </w:r>
            <w:r w:rsidR="00571A93" w:rsidRPr="00D1550C">
              <w:rPr>
                <w:rFonts w:cs="Calibri"/>
                <w:sz w:val="26"/>
                <w:szCs w:val="26"/>
              </w:rPr>
              <w:t>1</w:t>
            </w:r>
          </w:p>
        </w:tc>
        <w:tc>
          <w:tcPr>
            <w:tcW w:w="5031" w:type="dxa"/>
            <w:gridSpan w:val="2"/>
            <w:tcBorders>
              <w:top w:val="single" w:sz="4" w:space="0" w:color="auto"/>
            </w:tcBorders>
            <w:shd w:val="clear" w:color="auto" w:fill="auto"/>
          </w:tcPr>
          <w:p w:rsidR="006843AB" w:rsidRPr="00D1550C" w:rsidRDefault="006843AB" w:rsidP="00C07411">
            <w:pPr>
              <w:spacing w:before="80" w:after="80"/>
              <w:jc w:val="center"/>
              <w:rPr>
                <w:rFonts w:cs="Calibri"/>
                <w:sz w:val="26"/>
                <w:szCs w:val="26"/>
              </w:rPr>
            </w:pPr>
            <w:r w:rsidRPr="00D1550C">
              <w:rPr>
                <w:rFonts w:cs="Calibri"/>
                <w:sz w:val="26"/>
                <w:szCs w:val="26"/>
              </w:rPr>
              <w:t>April 1, 2019</w:t>
            </w:r>
          </w:p>
        </w:tc>
      </w:tr>
      <w:tr w:rsidR="006843AB" w:rsidRPr="00D1550C" w:rsidTr="00796AAD">
        <w:tc>
          <w:tcPr>
            <w:tcW w:w="5001" w:type="dxa"/>
          </w:tcPr>
          <w:p w:rsidR="006843AB" w:rsidRPr="00D1550C" w:rsidRDefault="0013260C" w:rsidP="00C07411">
            <w:pPr>
              <w:jc w:val="center"/>
              <w:rPr>
                <w:highlight w:val="yellow"/>
              </w:rPr>
            </w:pPr>
            <w:r w:rsidRPr="00D1550C">
              <w:rPr>
                <w:noProof/>
                <w:lang w:val="ru-RU"/>
              </w:rPr>
              <w:drawing>
                <wp:inline distT="0" distB="0" distL="0" distR="0" wp14:anchorId="5231CFF8" wp14:editId="5C042D57">
                  <wp:extent cx="2847975" cy="4029075"/>
                  <wp:effectExtent l="0" t="0" r="0" b="0"/>
                  <wp:docPr id="23" name="Диаграмма 2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001" w:type="dxa"/>
            <w:vAlign w:val="center"/>
          </w:tcPr>
          <w:p w:rsidR="006843AB" w:rsidRPr="00D1550C" w:rsidRDefault="00796AAD" w:rsidP="00C07411">
            <w:pPr>
              <w:jc w:val="right"/>
              <w:rPr>
                <w:highlight w:val="yellow"/>
              </w:rPr>
            </w:pPr>
            <w:r w:rsidRPr="00D1550C">
              <w:rPr>
                <w:noProof/>
                <w:lang w:val="ru-RU"/>
              </w:rPr>
              <w:drawing>
                <wp:inline distT="0" distB="0" distL="0" distR="0" wp14:anchorId="74F5DC4D" wp14:editId="17117222">
                  <wp:extent cx="2759103" cy="3983355"/>
                  <wp:effectExtent l="0" t="0" r="3175" b="0"/>
                  <wp:docPr id="45" name="Диаграмма 45">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031" w:type="dxa"/>
            <w:gridSpan w:val="2"/>
            <w:shd w:val="clear" w:color="auto" w:fill="auto"/>
            <w:vAlign w:val="center"/>
          </w:tcPr>
          <w:p w:rsidR="006843AB" w:rsidRPr="00D1550C" w:rsidRDefault="006843AB" w:rsidP="00C07411">
            <w:pPr>
              <w:jc w:val="right"/>
              <w:rPr>
                <w:highlight w:val="yellow"/>
              </w:rPr>
            </w:pPr>
            <w:r w:rsidRPr="00D1550C">
              <w:rPr>
                <w:noProof/>
                <w:lang w:val="ru-RU"/>
              </w:rPr>
              <w:drawing>
                <wp:inline distT="0" distB="0" distL="0" distR="0" wp14:anchorId="1354409F" wp14:editId="223FC511">
                  <wp:extent cx="2751455" cy="3419475"/>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1247A0" w:rsidRPr="00D1550C" w:rsidRDefault="00643E81" w:rsidP="004C59BD">
      <w:pPr>
        <w:pStyle w:val="21"/>
        <w:spacing w:before="60"/>
        <w:rPr>
          <w:rFonts w:ascii="Calibri" w:hAnsi="Calibri" w:cs="Calibri"/>
          <w:lang w:val="en-US"/>
        </w:rPr>
      </w:pPr>
      <w:bookmarkStart w:id="17" w:name="_Toc533515532"/>
      <w:bookmarkStart w:id="18" w:name="_Toc83291125"/>
      <w:r w:rsidRPr="00D1550C">
        <w:rPr>
          <w:rFonts w:ascii="Calibri" w:hAnsi="Calibri" w:cs="Calibri"/>
          <w:lang w:val="en-US"/>
        </w:rPr>
        <w:lastRenderedPageBreak/>
        <w:t>OTHER SECTORS</w:t>
      </w:r>
      <w:bookmarkEnd w:id="17"/>
      <w:bookmarkEnd w:id="18"/>
    </w:p>
    <w:p w:rsidR="00643E81" w:rsidRPr="00D1550C" w:rsidRDefault="00643E81" w:rsidP="004C59BD">
      <w:pPr>
        <w:spacing w:before="60" w:line="288" w:lineRule="auto"/>
        <w:ind w:firstLine="709"/>
        <w:jc w:val="both"/>
        <w:rPr>
          <w:rFonts w:cs="Calibri"/>
          <w:sz w:val="26"/>
          <w:szCs w:val="26"/>
          <w:u w:val="single"/>
        </w:rPr>
      </w:pPr>
      <w:r w:rsidRPr="00D1550C">
        <w:rPr>
          <w:rFonts w:cs="Calibri"/>
          <w:sz w:val="26"/>
          <w:szCs w:val="26"/>
          <w:u w:val="single"/>
        </w:rPr>
        <w:t>Assets</w:t>
      </w:r>
    </w:p>
    <w:p w:rsidR="00B26BC2" w:rsidRPr="00D1550C" w:rsidRDefault="00BC5B34" w:rsidP="000D37F2">
      <w:pPr>
        <w:spacing w:before="120" w:line="276" w:lineRule="auto"/>
        <w:ind w:firstLine="709"/>
        <w:jc w:val="both"/>
        <w:rPr>
          <w:rFonts w:cs="Calibri"/>
          <w:sz w:val="26"/>
          <w:szCs w:val="26"/>
        </w:rPr>
      </w:pPr>
      <w:r>
        <w:rPr>
          <w:rFonts w:cs="Calibri"/>
          <w:sz w:val="26"/>
          <w:szCs w:val="26"/>
        </w:rPr>
        <w:t>By the end of</w:t>
      </w:r>
      <w:r w:rsidR="00533045" w:rsidRPr="00D1550C">
        <w:rPr>
          <w:rFonts w:cs="Calibri"/>
          <w:sz w:val="26"/>
          <w:szCs w:val="26"/>
        </w:rPr>
        <w:t xml:space="preserve"> the </w:t>
      </w:r>
      <w:r w:rsidR="007B1269" w:rsidRPr="00D1550C">
        <w:rPr>
          <w:rFonts w:cs="Calibri"/>
          <w:sz w:val="26"/>
          <w:szCs w:val="26"/>
        </w:rPr>
        <w:t>1</w:t>
      </w:r>
      <w:r w:rsidR="007B1269" w:rsidRPr="00D1550C">
        <w:rPr>
          <w:rFonts w:cs="Calibri"/>
          <w:sz w:val="26"/>
          <w:szCs w:val="26"/>
          <w:vertAlign w:val="superscript"/>
        </w:rPr>
        <w:t>st</w:t>
      </w:r>
      <w:r w:rsidR="007B1269" w:rsidRPr="00D1550C">
        <w:rPr>
          <w:rFonts w:cs="Calibri"/>
          <w:sz w:val="26"/>
          <w:szCs w:val="26"/>
        </w:rPr>
        <w:t xml:space="preserve"> half of 2021, </w:t>
      </w:r>
      <w:r w:rsidR="00034895" w:rsidRPr="00D1550C">
        <w:rPr>
          <w:rFonts w:cs="Calibri"/>
          <w:sz w:val="26"/>
          <w:szCs w:val="26"/>
        </w:rPr>
        <w:t xml:space="preserve">foreign assets of other sectors </w:t>
      </w:r>
      <w:r w:rsidR="007B1269" w:rsidRPr="00D1550C">
        <w:rPr>
          <w:rFonts w:cs="Calibri"/>
          <w:sz w:val="26"/>
          <w:szCs w:val="26"/>
        </w:rPr>
        <w:t>amounted to USD 29</w:t>
      </w:r>
      <w:r w:rsidR="00533045" w:rsidRPr="00D1550C">
        <w:rPr>
          <w:rFonts w:cs="Calibri"/>
          <w:sz w:val="26"/>
          <w:szCs w:val="26"/>
        </w:rPr>
        <w:t>.</w:t>
      </w:r>
      <w:r w:rsidR="007B1269" w:rsidRPr="00D1550C">
        <w:rPr>
          <w:rFonts w:cs="Calibri"/>
          <w:sz w:val="26"/>
          <w:szCs w:val="26"/>
        </w:rPr>
        <w:t>6 billion and rised by USD 1</w:t>
      </w:r>
      <w:r w:rsidR="00963EC2" w:rsidRPr="00D1550C">
        <w:rPr>
          <w:rFonts w:cs="Calibri"/>
          <w:sz w:val="26"/>
          <w:szCs w:val="26"/>
        </w:rPr>
        <w:t>.</w:t>
      </w:r>
      <w:r w:rsidR="007B1269" w:rsidRPr="00D1550C">
        <w:rPr>
          <w:rFonts w:cs="Calibri"/>
          <w:sz w:val="26"/>
          <w:szCs w:val="26"/>
        </w:rPr>
        <w:t xml:space="preserve">3 billion </w:t>
      </w:r>
      <w:r>
        <w:rPr>
          <w:rFonts w:cs="Calibri"/>
          <w:sz w:val="26"/>
          <w:szCs w:val="26"/>
        </w:rPr>
        <w:t>during</w:t>
      </w:r>
      <w:r w:rsidR="007B1269" w:rsidRPr="00D1550C">
        <w:rPr>
          <w:rFonts w:cs="Calibri"/>
          <w:sz w:val="26"/>
          <w:szCs w:val="26"/>
        </w:rPr>
        <w:t xml:space="preserve"> the reporting period. </w:t>
      </w:r>
      <w:r>
        <w:rPr>
          <w:sz w:val="26"/>
          <w:szCs w:val="26"/>
        </w:rPr>
        <w:t>A</w:t>
      </w:r>
      <w:r w:rsidR="00034895" w:rsidRPr="00D1550C">
        <w:rPr>
          <w:sz w:val="26"/>
          <w:szCs w:val="26"/>
        </w:rPr>
        <w:t>ssets</w:t>
      </w:r>
      <w:r>
        <w:rPr>
          <w:sz w:val="26"/>
          <w:szCs w:val="26"/>
        </w:rPr>
        <w:t xml:space="preserve"> grew mainly</w:t>
      </w:r>
      <w:r w:rsidR="00034895" w:rsidRPr="00D1550C">
        <w:rPr>
          <w:sz w:val="26"/>
          <w:szCs w:val="26"/>
        </w:rPr>
        <w:t xml:space="preserve"> in the component "Currency and deposits" </w:t>
      </w:r>
      <w:r>
        <w:rPr>
          <w:sz w:val="26"/>
          <w:szCs w:val="26"/>
        </w:rPr>
        <w:t>by</w:t>
      </w:r>
      <w:r w:rsidR="00034895" w:rsidRPr="00D1550C">
        <w:rPr>
          <w:sz w:val="26"/>
          <w:szCs w:val="26"/>
        </w:rPr>
        <w:t xml:space="preserve"> USD </w:t>
      </w:r>
      <w:r w:rsidR="000D37F2" w:rsidRPr="00D1550C">
        <w:rPr>
          <w:sz w:val="26"/>
          <w:szCs w:val="26"/>
        </w:rPr>
        <w:t>847</w:t>
      </w:r>
      <w:r w:rsidR="00A258CB" w:rsidRPr="00D1550C">
        <w:rPr>
          <w:sz w:val="26"/>
          <w:szCs w:val="26"/>
        </w:rPr>
        <w:t>.</w:t>
      </w:r>
      <w:r w:rsidR="000D37F2" w:rsidRPr="00D1550C">
        <w:rPr>
          <w:sz w:val="26"/>
          <w:szCs w:val="26"/>
        </w:rPr>
        <w:t>9</w:t>
      </w:r>
      <w:r w:rsidR="00034895" w:rsidRPr="00D1550C">
        <w:rPr>
          <w:sz w:val="26"/>
          <w:szCs w:val="26"/>
        </w:rPr>
        <w:t xml:space="preserve"> million due to the repatriation (return) of incomes of citizens of the Republic of Uzbekistan working abroad. An increase in the amount of</w:t>
      </w:r>
      <w:r w:rsidR="000D37F2" w:rsidRPr="00D1550C">
        <w:rPr>
          <w:sz w:val="26"/>
          <w:szCs w:val="26"/>
        </w:rPr>
        <w:t xml:space="preserve"> </w:t>
      </w:r>
      <w:r w:rsidR="00034895" w:rsidRPr="00D1550C">
        <w:rPr>
          <w:sz w:val="26"/>
          <w:szCs w:val="26"/>
        </w:rPr>
        <w:t xml:space="preserve">USD </w:t>
      </w:r>
      <w:r w:rsidR="000D37F2" w:rsidRPr="00D1550C">
        <w:rPr>
          <w:sz w:val="26"/>
          <w:szCs w:val="26"/>
        </w:rPr>
        <w:t>471</w:t>
      </w:r>
      <w:r w:rsidR="007038BB" w:rsidRPr="00D1550C">
        <w:rPr>
          <w:sz w:val="26"/>
          <w:szCs w:val="26"/>
        </w:rPr>
        <w:t>.</w:t>
      </w:r>
      <w:r w:rsidR="000D37F2" w:rsidRPr="00D1550C">
        <w:rPr>
          <w:sz w:val="26"/>
          <w:szCs w:val="26"/>
        </w:rPr>
        <w:t>2</w:t>
      </w:r>
      <w:r w:rsidR="00034895" w:rsidRPr="00D1550C">
        <w:rPr>
          <w:sz w:val="26"/>
          <w:szCs w:val="26"/>
        </w:rPr>
        <w:t xml:space="preserve"> mill</w:t>
      </w:r>
      <w:r w:rsidR="000D37F2" w:rsidRPr="00D1550C">
        <w:rPr>
          <w:sz w:val="26"/>
          <w:szCs w:val="26"/>
        </w:rPr>
        <w:t xml:space="preserve">ion </w:t>
      </w:r>
      <w:r w:rsidR="00034895" w:rsidRPr="00D1550C">
        <w:rPr>
          <w:sz w:val="26"/>
          <w:szCs w:val="26"/>
        </w:rPr>
        <w:t>was also recorded in the «Trade credits and advances» (</w:t>
      </w:r>
      <w:r w:rsidR="00034895" w:rsidRPr="00D1550C">
        <w:rPr>
          <w:i/>
          <w:sz w:val="26"/>
          <w:szCs w:val="26"/>
        </w:rPr>
        <w:t>accounts receivable</w:t>
      </w:r>
      <w:r w:rsidR="00034895" w:rsidRPr="00D1550C">
        <w:rPr>
          <w:sz w:val="26"/>
          <w:szCs w:val="26"/>
        </w:rPr>
        <w:t>) component.</w:t>
      </w:r>
    </w:p>
    <w:p w:rsidR="003B57F1" w:rsidRPr="00D1550C" w:rsidRDefault="00643E81" w:rsidP="00147844">
      <w:pPr>
        <w:spacing w:before="60" w:line="276" w:lineRule="auto"/>
        <w:ind w:firstLine="709"/>
        <w:jc w:val="both"/>
        <w:rPr>
          <w:rFonts w:cs="Calibri"/>
          <w:sz w:val="26"/>
          <w:szCs w:val="26"/>
          <w:u w:val="single"/>
        </w:rPr>
      </w:pPr>
      <w:r w:rsidRPr="00D1550C">
        <w:rPr>
          <w:rFonts w:cs="Calibri"/>
          <w:sz w:val="26"/>
          <w:szCs w:val="26"/>
          <w:u w:val="single"/>
        </w:rPr>
        <w:t>Liabilities</w:t>
      </w:r>
    </w:p>
    <w:p w:rsidR="005906C1" w:rsidRPr="00D1550C" w:rsidRDefault="000B1296" w:rsidP="000B1296">
      <w:pPr>
        <w:spacing w:before="120" w:line="276" w:lineRule="auto"/>
        <w:ind w:firstLine="709"/>
        <w:jc w:val="both"/>
        <w:rPr>
          <w:rFonts w:cs="Calibri"/>
          <w:sz w:val="26"/>
          <w:szCs w:val="26"/>
        </w:rPr>
      </w:pPr>
      <w:r w:rsidRPr="00D1550C">
        <w:rPr>
          <w:rFonts w:cs="Calibri"/>
          <w:sz w:val="26"/>
          <w:szCs w:val="26"/>
        </w:rPr>
        <w:t>Foreign liabilities of other sector in January-</w:t>
      </w:r>
      <w:r w:rsidR="000B6FF9" w:rsidRPr="00D1550C">
        <w:rPr>
          <w:rFonts w:cs="Calibri"/>
          <w:sz w:val="26"/>
          <w:szCs w:val="26"/>
        </w:rPr>
        <w:t xml:space="preserve">June </w:t>
      </w:r>
      <w:r w:rsidRPr="00D1550C">
        <w:rPr>
          <w:rFonts w:cs="Calibri"/>
          <w:sz w:val="26"/>
          <w:szCs w:val="26"/>
        </w:rPr>
        <w:t xml:space="preserve">2021 </w:t>
      </w:r>
      <w:r w:rsidR="000B6FF9" w:rsidRPr="00D1550C">
        <w:rPr>
          <w:rFonts w:cs="Calibri"/>
          <w:sz w:val="26"/>
          <w:szCs w:val="26"/>
        </w:rPr>
        <w:t>in</w:t>
      </w:r>
      <w:r w:rsidRPr="00D1550C">
        <w:rPr>
          <w:rFonts w:cs="Calibri"/>
          <w:sz w:val="26"/>
          <w:szCs w:val="26"/>
        </w:rPr>
        <w:t xml:space="preserve">creased by USD </w:t>
      </w:r>
      <w:r w:rsidR="000B6FF9" w:rsidRPr="00D1550C">
        <w:rPr>
          <w:rFonts w:cs="Calibri"/>
          <w:sz w:val="26"/>
          <w:szCs w:val="26"/>
        </w:rPr>
        <w:t>1</w:t>
      </w:r>
      <w:r w:rsidR="00FE1D87" w:rsidRPr="00D1550C">
        <w:rPr>
          <w:rFonts w:cs="Calibri"/>
          <w:sz w:val="26"/>
          <w:szCs w:val="26"/>
        </w:rPr>
        <w:t>.</w:t>
      </w:r>
      <w:r w:rsidR="000B6FF9" w:rsidRPr="00D1550C">
        <w:rPr>
          <w:rFonts w:cs="Calibri"/>
          <w:sz w:val="26"/>
          <w:szCs w:val="26"/>
        </w:rPr>
        <w:t>6</w:t>
      </w:r>
      <w:r w:rsidRPr="00D1550C">
        <w:rPr>
          <w:rFonts w:cs="Calibri"/>
          <w:sz w:val="26"/>
          <w:szCs w:val="26"/>
        </w:rPr>
        <w:t xml:space="preserve"> </w:t>
      </w:r>
      <w:r w:rsidR="000B6FF9" w:rsidRPr="00D1550C">
        <w:rPr>
          <w:rFonts w:cs="Calibri"/>
          <w:sz w:val="26"/>
          <w:szCs w:val="26"/>
        </w:rPr>
        <w:t>b</w:t>
      </w:r>
      <w:r w:rsidRPr="00D1550C">
        <w:rPr>
          <w:rFonts w:cs="Calibri"/>
          <w:sz w:val="26"/>
          <w:szCs w:val="26"/>
        </w:rPr>
        <w:t>illion</w:t>
      </w:r>
      <w:r w:rsidR="000B6FF9" w:rsidRPr="00D1550C">
        <w:rPr>
          <w:rFonts w:cs="Calibri"/>
          <w:sz w:val="26"/>
          <w:szCs w:val="26"/>
        </w:rPr>
        <w:t xml:space="preserve"> and amounted to USD 23</w:t>
      </w:r>
      <w:r w:rsidR="00FE1D87" w:rsidRPr="00D1550C">
        <w:rPr>
          <w:rFonts w:cs="Calibri"/>
          <w:sz w:val="26"/>
          <w:szCs w:val="26"/>
        </w:rPr>
        <w:t>.</w:t>
      </w:r>
      <w:r w:rsidR="000B6FF9" w:rsidRPr="00D1550C">
        <w:rPr>
          <w:rFonts w:cs="Calibri"/>
          <w:sz w:val="26"/>
          <w:szCs w:val="26"/>
        </w:rPr>
        <w:t>8 billion</w:t>
      </w:r>
      <w:r w:rsidRPr="00D1550C">
        <w:rPr>
          <w:rFonts w:cs="Calibri"/>
          <w:sz w:val="26"/>
          <w:szCs w:val="26"/>
        </w:rPr>
        <w:t>. The growth of liabilities</w:t>
      </w:r>
      <w:r w:rsidR="00A46F24" w:rsidRPr="00D1550C">
        <w:rPr>
          <w:rFonts w:cs="Calibri"/>
          <w:sz w:val="26"/>
          <w:szCs w:val="26"/>
        </w:rPr>
        <w:t xml:space="preserve"> of other sectors </w:t>
      </w:r>
      <w:r w:rsidRPr="00D1550C">
        <w:rPr>
          <w:rFonts w:cs="Calibri"/>
          <w:sz w:val="26"/>
          <w:szCs w:val="26"/>
        </w:rPr>
        <w:t xml:space="preserve">was observed mainly due to </w:t>
      </w:r>
      <w:r w:rsidR="00D56777" w:rsidRPr="00D1550C">
        <w:rPr>
          <w:rFonts w:cs="Calibri"/>
          <w:sz w:val="26"/>
          <w:szCs w:val="26"/>
        </w:rPr>
        <w:t>«Loans and borrowings» (USD 608</w:t>
      </w:r>
      <w:r w:rsidR="00FE1D87" w:rsidRPr="00D1550C">
        <w:rPr>
          <w:rFonts w:cs="Calibri"/>
          <w:sz w:val="26"/>
          <w:szCs w:val="26"/>
        </w:rPr>
        <w:t>.</w:t>
      </w:r>
      <w:r w:rsidR="00D56777" w:rsidRPr="00D1550C">
        <w:rPr>
          <w:rFonts w:cs="Calibri"/>
          <w:sz w:val="26"/>
          <w:szCs w:val="26"/>
        </w:rPr>
        <w:t>3 million), «Trade credit and advances» (USD 342</w:t>
      </w:r>
      <w:r w:rsidR="00FE1D87" w:rsidRPr="00D1550C">
        <w:rPr>
          <w:rFonts w:cs="Calibri"/>
          <w:sz w:val="26"/>
          <w:szCs w:val="26"/>
        </w:rPr>
        <w:t>.</w:t>
      </w:r>
      <w:r w:rsidR="00D56777" w:rsidRPr="00D1550C">
        <w:rPr>
          <w:rFonts w:cs="Calibri"/>
          <w:sz w:val="26"/>
          <w:szCs w:val="26"/>
        </w:rPr>
        <w:t xml:space="preserve">3 million), </w:t>
      </w:r>
      <w:r w:rsidR="00FE1D87" w:rsidRPr="00D1550C">
        <w:rPr>
          <w:rFonts w:cs="Calibri"/>
          <w:sz w:val="26"/>
          <w:szCs w:val="26"/>
        </w:rPr>
        <w:t>«Portfolio investment» (USD 299.</w:t>
      </w:r>
      <w:r w:rsidR="00D56777" w:rsidRPr="00D1550C">
        <w:rPr>
          <w:rFonts w:cs="Calibri"/>
          <w:sz w:val="26"/>
          <w:szCs w:val="26"/>
        </w:rPr>
        <w:t xml:space="preserve">1 million) and </w:t>
      </w:r>
      <w:r w:rsidRPr="00D1550C">
        <w:rPr>
          <w:rFonts w:cs="Calibri"/>
          <w:sz w:val="26"/>
          <w:szCs w:val="26"/>
        </w:rPr>
        <w:t xml:space="preserve">«Direct investments» </w:t>
      </w:r>
      <w:r w:rsidR="000B6FF9" w:rsidRPr="00D1550C">
        <w:rPr>
          <w:rFonts w:cs="Calibri"/>
          <w:sz w:val="26"/>
          <w:szCs w:val="26"/>
        </w:rPr>
        <w:t>(USD 208</w:t>
      </w:r>
      <w:r w:rsidR="00FE1D87" w:rsidRPr="00D1550C">
        <w:rPr>
          <w:rFonts w:cs="Calibri"/>
          <w:sz w:val="26"/>
          <w:szCs w:val="26"/>
        </w:rPr>
        <w:t>.</w:t>
      </w:r>
      <w:r w:rsidR="000B6FF9" w:rsidRPr="00D1550C">
        <w:rPr>
          <w:rFonts w:cs="Calibri"/>
          <w:sz w:val="26"/>
          <w:szCs w:val="26"/>
        </w:rPr>
        <w:t>7 million)</w:t>
      </w:r>
      <w:r w:rsidR="00D56777" w:rsidRPr="00D1550C">
        <w:rPr>
          <w:rFonts w:cs="Calibri"/>
          <w:sz w:val="26"/>
          <w:szCs w:val="26"/>
        </w:rPr>
        <w:t>.</w:t>
      </w:r>
    </w:p>
    <w:p w:rsidR="00D67C16" w:rsidRPr="00D1550C" w:rsidRDefault="000B1296" w:rsidP="00147844">
      <w:pPr>
        <w:spacing w:before="120" w:line="276" w:lineRule="auto"/>
        <w:ind w:firstLine="709"/>
        <w:jc w:val="both"/>
        <w:rPr>
          <w:rFonts w:cs="Calibri"/>
          <w:sz w:val="26"/>
          <w:szCs w:val="26"/>
        </w:rPr>
      </w:pPr>
      <w:r w:rsidRPr="00D1550C">
        <w:rPr>
          <w:rFonts w:cs="Calibri"/>
          <w:sz w:val="26"/>
          <w:szCs w:val="26"/>
        </w:rPr>
        <w:t xml:space="preserve">In the «Direct Investment» component, the amount of receipt from foreign investors under the PSA was USD </w:t>
      </w:r>
      <w:r w:rsidR="007C661D" w:rsidRPr="00D1550C">
        <w:rPr>
          <w:rFonts w:cs="Calibri"/>
          <w:sz w:val="26"/>
          <w:szCs w:val="26"/>
        </w:rPr>
        <w:t>186</w:t>
      </w:r>
      <w:r w:rsidR="00033837" w:rsidRPr="00D1550C">
        <w:rPr>
          <w:rFonts w:cs="Calibri"/>
          <w:sz w:val="26"/>
          <w:szCs w:val="26"/>
        </w:rPr>
        <w:t>.</w:t>
      </w:r>
      <w:r w:rsidR="007C661D" w:rsidRPr="00D1550C">
        <w:rPr>
          <w:rFonts w:cs="Calibri"/>
          <w:sz w:val="26"/>
          <w:szCs w:val="26"/>
        </w:rPr>
        <w:t>2</w:t>
      </w:r>
      <w:r w:rsidRPr="00D1550C">
        <w:rPr>
          <w:rFonts w:cs="Calibri"/>
          <w:sz w:val="26"/>
          <w:szCs w:val="26"/>
        </w:rPr>
        <w:t xml:space="preserve"> million</w:t>
      </w:r>
      <w:r w:rsidRPr="00D1550C">
        <w:rPr>
          <w:rStyle w:val="a9"/>
          <w:rFonts w:cs="Calibri"/>
          <w:sz w:val="26"/>
          <w:szCs w:val="26"/>
        </w:rPr>
        <w:footnoteReference w:id="6"/>
      </w:r>
      <w:r w:rsidRPr="00D1550C">
        <w:rPr>
          <w:rFonts w:cs="Calibri"/>
          <w:sz w:val="26"/>
          <w:szCs w:val="26"/>
        </w:rPr>
        <w:t xml:space="preserve">, and the accrual of compensation payments to foreign investors amounted to USD </w:t>
      </w:r>
      <w:r w:rsidR="007C661D" w:rsidRPr="00D1550C">
        <w:rPr>
          <w:rFonts w:cs="Calibri"/>
          <w:sz w:val="26"/>
          <w:szCs w:val="26"/>
        </w:rPr>
        <w:t>330</w:t>
      </w:r>
      <w:r w:rsidR="00033837" w:rsidRPr="00D1550C">
        <w:rPr>
          <w:rFonts w:cs="Calibri"/>
          <w:sz w:val="26"/>
          <w:szCs w:val="26"/>
        </w:rPr>
        <w:t>.</w:t>
      </w:r>
      <w:r w:rsidRPr="00D1550C">
        <w:rPr>
          <w:rFonts w:cs="Calibri"/>
          <w:sz w:val="26"/>
          <w:szCs w:val="26"/>
        </w:rPr>
        <w:t>6 million. Thus, in the PSA enterprises, the net decrease in investment was equal to USD 1</w:t>
      </w:r>
      <w:r w:rsidR="00EB63DB" w:rsidRPr="00D1550C">
        <w:rPr>
          <w:rFonts w:cs="Calibri"/>
          <w:sz w:val="26"/>
          <w:szCs w:val="26"/>
        </w:rPr>
        <w:t>44</w:t>
      </w:r>
      <w:r w:rsidR="00033837" w:rsidRPr="00D1550C">
        <w:rPr>
          <w:rFonts w:cs="Calibri"/>
          <w:sz w:val="26"/>
          <w:szCs w:val="26"/>
        </w:rPr>
        <w:t>.</w:t>
      </w:r>
      <w:r w:rsidR="00EB63DB" w:rsidRPr="00D1550C">
        <w:rPr>
          <w:rFonts w:cs="Calibri"/>
          <w:sz w:val="26"/>
          <w:szCs w:val="26"/>
        </w:rPr>
        <w:t>4</w:t>
      </w:r>
      <w:r w:rsidRPr="00D1550C">
        <w:rPr>
          <w:rFonts w:cs="Calibri"/>
          <w:sz w:val="26"/>
          <w:szCs w:val="26"/>
        </w:rPr>
        <w:t xml:space="preserve"> million.</w:t>
      </w:r>
      <w:r w:rsidR="005906C1" w:rsidRPr="00D1550C">
        <w:rPr>
          <w:rFonts w:cs="Calibri"/>
          <w:sz w:val="26"/>
          <w:szCs w:val="26"/>
        </w:rPr>
        <w:t xml:space="preserve"> </w:t>
      </w:r>
    </w:p>
    <w:p w:rsidR="005906C1" w:rsidRPr="00D1550C" w:rsidRDefault="00523DE5" w:rsidP="00147844">
      <w:pPr>
        <w:spacing w:before="120" w:line="276" w:lineRule="auto"/>
        <w:ind w:firstLine="709"/>
        <w:jc w:val="both"/>
        <w:rPr>
          <w:rFonts w:cs="Calibri"/>
          <w:sz w:val="26"/>
          <w:szCs w:val="26"/>
        </w:rPr>
      </w:pPr>
      <w:r w:rsidRPr="00D1550C">
        <w:rPr>
          <w:rFonts w:cs="Calibri"/>
          <w:sz w:val="26"/>
          <w:szCs w:val="26"/>
        </w:rPr>
        <w:t xml:space="preserve">For non-financial enterprises, with the exception of PSA enterprises, for </w:t>
      </w:r>
      <w:r w:rsidR="00420442" w:rsidRPr="00D1550C">
        <w:rPr>
          <w:rFonts w:cs="Calibri"/>
          <w:sz w:val="26"/>
          <w:szCs w:val="26"/>
        </w:rPr>
        <w:t xml:space="preserve">the </w:t>
      </w:r>
      <w:r w:rsidRPr="00D1550C">
        <w:rPr>
          <w:rFonts w:cs="Calibri"/>
          <w:sz w:val="26"/>
          <w:szCs w:val="26"/>
        </w:rPr>
        <w:t>1</w:t>
      </w:r>
      <w:r w:rsidRPr="00D1550C">
        <w:rPr>
          <w:rFonts w:cs="Calibri"/>
          <w:sz w:val="26"/>
          <w:szCs w:val="26"/>
          <w:vertAlign w:val="superscript"/>
        </w:rPr>
        <w:t>st</w:t>
      </w:r>
      <w:r w:rsidRPr="00D1550C">
        <w:rPr>
          <w:rFonts w:cs="Calibri"/>
          <w:sz w:val="26"/>
          <w:szCs w:val="26"/>
        </w:rPr>
        <w:t xml:space="preserve"> </w:t>
      </w:r>
      <w:r w:rsidR="006A0404" w:rsidRPr="00D1550C">
        <w:rPr>
          <w:rFonts w:cs="Calibri"/>
          <w:sz w:val="26"/>
          <w:szCs w:val="26"/>
        </w:rPr>
        <w:t>half</w:t>
      </w:r>
      <w:r w:rsidRPr="00D1550C">
        <w:rPr>
          <w:rFonts w:cs="Calibri"/>
          <w:sz w:val="26"/>
          <w:szCs w:val="26"/>
        </w:rPr>
        <w:t xml:space="preserve"> of 2021, the net inflow of foreign direct investment in share capital was USD </w:t>
      </w:r>
      <w:r w:rsidR="006A0404" w:rsidRPr="00D1550C">
        <w:rPr>
          <w:rFonts w:cs="Calibri"/>
          <w:sz w:val="26"/>
          <w:szCs w:val="26"/>
        </w:rPr>
        <w:t>702</w:t>
      </w:r>
      <w:r w:rsidR="006A145F" w:rsidRPr="00D1550C">
        <w:rPr>
          <w:rFonts w:cs="Calibri"/>
          <w:sz w:val="26"/>
          <w:szCs w:val="26"/>
        </w:rPr>
        <w:t>.</w:t>
      </w:r>
      <w:r w:rsidR="006A0404" w:rsidRPr="00D1550C">
        <w:rPr>
          <w:rFonts w:cs="Calibri"/>
          <w:sz w:val="26"/>
          <w:szCs w:val="26"/>
        </w:rPr>
        <w:t>3</w:t>
      </w:r>
      <w:r w:rsidRPr="00D1550C">
        <w:rPr>
          <w:rFonts w:cs="Calibri"/>
          <w:sz w:val="26"/>
          <w:szCs w:val="26"/>
        </w:rPr>
        <w:t xml:space="preserve"> million, reinvestment of income was USD </w:t>
      </w:r>
      <w:r w:rsidR="006A0404" w:rsidRPr="00D1550C">
        <w:rPr>
          <w:rFonts w:cs="Calibri"/>
          <w:sz w:val="26"/>
          <w:szCs w:val="26"/>
        </w:rPr>
        <w:t>273</w:t>
      </w:r>
      <w:r w:rsidR="006A145F" w:rsidRPr="00D1550C">
        <w:rPr>
          <w:rFonts w:cs="Calibri"/>
          <w:sz w:val="26"/>
          <w:szCs w:val="26"/>
        </w:rPr>
        <w:t>.</w:t>
      </w:r>
      <w:r w:rsidR="006A0404" w:rsidRPr="00D1550C">
        <w:rPr>
          <w:rFonts w:cs="Calibri"/>
          <w:sz w:val="26"/>
          <w:szCs w:val="26"/>
        </w:rPr>
        <w:t>0</w:t>
      </w:r>
      <w:r w:rsidRPr="00D1550C">
        <w:rPr>
          <w:rFonts w:cs="Calibri"/>
          <w:sz w:val="26"/>
          <w:szCs w:val="26"/>
        </w:rPr>
        <w:t xml:space="preserve"> million and investments in the form of debt instruments from parent companies were equal to USD </w:t>
      </w:r>
      <w:r w:rsidR="006A0404" w:rsidRPr="00D1550C">
        <w:rPr>
          <w:rFonts w:cs="Calibri"/>
          <w:sz w:val="26"/>
          <w:szCs w:val="26"/>
        </w:rPr>
        <w:t>195</w:t>
      </w:r>
      <w:r w:rsidR="00226913" w:rsidRPr="00D1550C">
        <w:rPr>
          <w:rFonts w:cs="Calibri"/>
          <w:sz w:val="26"/>
          <w:szCs w:val="26"/>
        </w:rPr>
        <w:t>.</w:t>
      </w:r>
      <w:r w:rsidR="006A0404" w:rsidRPr="00D1550C">
        <w:rPr>
          <w:rFonts w:cs="Calibri"/>
          <w:sz w:val="26"/>
          <w:szCs w:val="26"/>
        </w:rPr>
        <w:t>1</w:t>
      </w:r>
      <w:r w:rsidRPr="00D1550C">
        <w:rPr>
          <w:rFonts w:cs="Calibri"/>
          <w:sz w:val="26"/>
          <w:szCs w:val="26"/>
        </w:rPr>
        <w:t xml:space="preserve"> million. Thus, the net growth in investment in non-financial enterprises was equal to USD </w:t>
      </w:r>
      <w:r w:rsidR="0023555F" w:rsidRPr="00D1550C">
        <w:rPr>
          <w:rFonts w:cs="Calibri"/>
          <w:sz w:val="26"/>
          <w:szCs w:val="26"/>
        </w:rPr>
        <w:t>1</w:t>
      </w:r>
      <w:r w:rsidR="00226913" w:rsidRPr="00D1550C">
        <w:rPr>
          <w:rFonts w:cs="Calibri"/>
          <w:sz w:val="26"/>
          <w:szCs w:val="26"/>
        </w:rPr>
        <w:t>.</w:t>
      </w:r>
      <w:r w:rsidR="0023555F" w:rsidRPr="00D1550C">
        <w:rPr>
          <w:rFonts w:cs="Calibri"/>
          <w:sz w:val="26"/>
          <w:szCs w:val="26"/>
        </w:rPr>
        <w:t>2</w:t>
      </w:r>
      <w:r w:rsidRPr="00D1550C">
        <w:rPr>
          <w:rFonts w:cs="Calibri"/>
          <w:sz w:val="26"/>
          <w:szCs w:val="26"/>
        </w:rPr>
        <w:t xml:space="preserve"> </w:t>
      </w:r>
      <w:r w:rsidR="0023555F" w:rsidRPr="00D1550C">
        <w:rPr>
          <w:rFonts w:cs="Calibri"/>
          <w:sz w:val="26"/>
          <w:szCs w:val="26"/>
        </w:rPr>
        <w:t>b</w:t>
      </w:r>
      <w:r w:rsidRPr="00D1550C">
        <w:rPr>
          <w:rFonts w:cs="Calibri"/>
          <w:sz w:val="26"/>
          <w:szCs w:val="26"/>
        </w:rPr>
        <w:t>illion.</w:t>
      </w:r>
    </w:p>
    <w:p w:rsidR="007E264B" w:rsidRPr="00D1550C" w:rsidRDefault="00591EBA" w:rsidP="00591EBA">
      <w:pPr>
        <w:spacing w:before="120" w:line="276" w:lineRule="auto"/>
        <w:ind w:firstLine="709"/>
        <w:jc w:val="both"/>
        <w:rPr>
          <w:rFonts w:cs="Calibri"/>
          <w:sz w:val="26"/>
          <w:szCs w:val="26"/>
        </w:rPr>
      </w:pPr>
      <w:r w:rsidRPr="00D1550C">
        <w:rPr>
          <w:rFonts w:cs="Calibri"/>
          <w:sz w:val="26"/>
          <w:szCs w:val="26"/>
        </w:rPr>
        <w:t xml:space="preserve">Furthermore, there were other negative non-operational changes in external liabilities of direct investments of other sectors in the amount of USD </w:t>
      </w:r>
      <w:r w:rsidR="005B1659" w:rsidRPr="00D1550C">
        <w:rPr>
          <w:rFonts w:cs="Calibri"/>
          <w:sz w:val="26"/>
          <w:szCs w:val="26"/>
        </w:rPr>
        <w:t>820</w:t>
      </w:r>
      <w:r w:rsidR="00F20FFB" w:rsidRPr="00D1550C">
        <w:rPr>
          <w:rFonts w:cs="Calibri"/>
          <w:sz w:val="26"/>
          <w:szCs w:val="26"/>
        </w:rPr>
        <w:t>.</w:t>
      </w:r>
      <w:r w:rsidR="005B1659" w:rsidRPr="00D1550C">
        <w:rPr>
          <w:rFonts w:cs="Calibri"/>
          <w:sz w:val="26"/>
          <w:szCs w:val="26"/>
        </w:rPr>
        <w:t>4</w:t>
      </w:r>
      <w:r w:rsidRPr="00D1550C">
        <w:rPr>
          <w:rFonts w:cs="Calibri"/>
          <w:sz w:val="26"/>
          <w:szCs w:val="26"/>
        </w:rPr>
        <w:t xml:space="preserve"> million, which are associated with the detected statistical discrepancies in the data for previous periods</w:t>
      </w:r>
      <w:r w:rsidRPr="00D1550C">
        <w:rPr>
          <w:rStyle w:val="a9"/>
          <w:rFonts w:cs="Calibri"/>
          <w:sz w:val="26"/>
          <w:szCs w:val="26"/>
        </w:rPr>
        <w:footnoteReference w:id="7"/>
      </w:r>
      <w:r w:rsidRPr="00D1550C">
        <w:rPr>
          <w:rFonts w:cs="Calibri"/>
          <w:sz w:val="26"/>
          <w:szCs w:val="26"/>
        </w:rPr>
        <w:t xml:space="preserve">. </w:t>
      </w:r>
    </w:p>
    <w:p w:rsidR="007E264B" w:rsidRPr="00D1550C" w:rsidRDefault="007E264B">
      <w:pPr>
        <w:rPr>
          <w:rFonts w:cs="Calibri"/>
          <w:sz w:val="26"/>
          <w:szCs w:val="26"/>
        </w:rPr>
      </w:pPr>
      <w:r w:rsidRPr="00D1550C">
        <w:rPr>
          <w:rFonts w:cs="Calibri"/>
          <w:sz w:val="26"/>
          <w:szCs w:val="26"/>
        </w:rPr>
        <w:br w:type="page"/>
      </w:r>
    </w:p>
    <w:p w:rsidR="006733FA" w:rsidRPr="00D1550C" w:rsidRDefault="00AC0959" w:rsidP="00BA1DA3">
      <w:pPr>
        <w:pStyle w:val="1"/>
        <w:spacing w:after="360"/>
        <w:ind w:left="709"/>
        <w:rPr>
          <w:rFonts w:ascii="Calibri" w:hAnsi="Calibri" w:cs="Calibri"/>
          <w:szCs w:val="28"/>
          <w:lang w:val="en-US"/>
        </w:rPr>
      </w:pPr>
      <w:bookmarkStart w:id="19" w:name="_Toc83291126"/>
      <w:r w:rsidRPr="00D1550C">
        <w:rPr>
          <w:rFonts w:ascii="Calibri" w:hAnsi="Calibri" w:cs="Calibri"/>
          <w:szCs w:val="28"/>
          <w:lang w:val="en-US"/>
        </w:rPr>
        <w:lastRenderedPageBreak/>
        <w:t>III. </w:t>
      </w:r>
      <w:bookmarkStart w:id="20" w:name="_Toc4780093"/>
      <w:r w:rsidR="00D852FD" w:rsidRPr="00D1550C">
        <w:rPr>
          <w:rFonts w:ascii="Calibri" w:hAnsi="Calibri" w:cs="Calibri"/>
          <w:szCs w:val="28"/>
          <w:lang w:val="en-US"/>
        </w:rPr>
        <w:t>EXTERNAL DEBT OF THE REPUBLIC OF UZBEKISTAN</w:t>
      </w:r>
      <w:bookmarkEnd w:id="20"/>
      <w:bookmarkEnd w:id="19"/>
    </w:p>
    <w:p w:rsidR="007D7C71" w:rsidRPr="00BC5B34" w:rsidRDefault="008F42D9" w:rsidP="00BC5B34">
      <w:pPr>
        <w:spacing w:before="120" w:line="288" w:lineRule="auto"/>
        <w:ind w:firstLine="708"/>
        <w:jc w:val="both"/>
        <w:rPr>
          <w:rFonts w:cs="Calibri"/>
          <w:i/>
          <w:sz w:val="26"/>
          <w:szCs w:val="26"/>
        </w:rPr>
      </w:pPr>
      <w:r w:rsidRPr="00D1550C">
        <w:rPr>
          <w:rFonts w:cs="Calibri"/>
          <w:sz w:val="26"/>
          <w:szCs w:val="26"/>
        </w:rPr>
        <w:t>Total</w:t>
      </w:r>
      <w:r w:rsidR="007D7C71" w:rsidRPr="00D1550C">
        <w:rPr>
          <w:rFonts w:cs="Calibri"/>
          <w:sz w:val="26"/>
          <w:szCs w:val="26"/>
        </w:rPr>
        <w:t xml:space="preserve"> external debt reflects the liabilities of residents to nonresidents, which require the payment of principal debt and interests. </w:t>
      </w:r>
      <w:r w:rsidRPr="00D1550C">
        <w:rPr>
          <w:rFonts w:cs="Calibri"/>
          <w:sz w:val="26"/>
          <w:szCs w:val="26"/>
        </w:rPr>
        <w:t>Total</w:t>
      </w:r>
      <w:r w:rsidR="007D7C71" w:rsidRPr="00D1550C">
        <w:rPr>
          <w:rFonts w:cs="Calibri"/>
          <w:sz w:val="26"/>
          <w:szCs w:val="26"/>
        </w:rPr>
        <w:t xml:space="preserve"> external debt includes the debt of government and </w:t>
      </w:r>
      <w:r w:rsidR="000366DF" w:rsidRPr="00D1550C">
        <w:rPr>
          <w:rFonts w:cs="Calibri"/>
          <w:sz w:val="26"/>
          <w:szCs w:val="26"/>
        </w:rPr>
        <w:t>guaranteed by government (</w:t>
      </w:r>
      <w:r w:rsidR="000366DF" w:rsidRPr="00D1550C">
        <w:rPr>
          <w:rFonts w:cs="Calibri"/>
          <w:i/>
          <w:sz w:val="26"/>
          <w:szCs w:val="26"/>
        </w:rPr>
        <w:t>further – government external debt</w:t>
      </w:r>
      <w:r w:rsidR="000366DF" w:rsidRPr="00D1550C">
        <w:rPr>
          <w:rFonts w:cs="Calibri"/>
          <w:sz w:val="26"/>
          <w:szCs w:val="26"/>
        </w:rPr>
        <w:t xml:space="preserve">), and </w:t>
      </w:r>
      <w:r w:rsidR="007E264B" w:rsidRPr="00D1550C">
        <w:rPr>
          <w:rFonts w:cs="Calibri"/>
          <w:sz w:val="26"/>
          <w:szCs w:val="26"/>
        </w:rPr>
        <w:t>n</w:t>
      </w:r>
      <w:r w:rsidR="000366DF" w:rsidRPr="00D1550C">
        <w:rPr>
          <w:rFonts w:cs="Calibri"/>
          <w:sz w:val="26"/>
          <w:szCs w:val="26"/>
        </w:rPr>
        <w:t>on-guaranteed external debt (</w:t>
      </w:r>
      <w:r w:rsidR="000366DF" w:rsidRPr="00D1550C">
        <w:rPr>
          <w:rFonts w:cs="Calibri"/>
          <w:i/>
          <w:sz w:val="26"/>
          <w:szCs w:val="26"/>
        </w:rPr>
        <w:t>further</w:t>
      </w:r>
      <w:r w:rsidR="00BC5B34">
        <w:rPr>
          <w:rFonts w:cs="Calibri"/>
          <w:i/>
          <w:sz w:val="26"/>
          <w:szCs w:val="26"/>
        </w:rPr>
        <w:t xml:space="preserve"> – </w:t>
      </w:r>
      <w:r w:rsidR="000366DF" w:rsidRPr="00D1550C">
        <w:rPr>
          <w:rFonts w:cs="Calibri"/>
          <w:i/>
          <w:sz w:val="26"/>
          <w:szCs w:val="26"/>
        </w:rPr>
        <w:t>private sector</w:t>
      </w:r>
      <w:r w:rsidR="0086320E" w:rsidRPr="00D1550C">
        <w:rPr>
          <w:rFonts w:cs="Calibri"/>
          <w:i/>
          <w:sz w:val="26"/>
          <w:szCs w:val="26"/>
        </w:rPr>
        <w:t xml:space="preserve"> external debt</w:t>
      </w:r>
      <w:r w:rsidR="00940AE2" w:rsidRPr="00D1550C">
        <w:rPr>
          <w:rFonts w:cs="Calibri"/>
          <w:i/>
          <w:sz w:val="26"/>
          <w:szCs w:val="26"/>
        </w:rPr>
        <w:t>).</w:t>
      </w:r>
    </w:p>
    <w:p w:rsidR="009A7462" w:rsidRPr="00D1550C" w:rsidRDefault="002715FC" w:rsidP="002715FC">
      <w:pPr>
        <w:spacing w:before="120" w:line="288" w:lineRule="auto"/>
        <w:ind w:firstLine="709"/>
        <w:jc w:val="both"/>
        <w:rPr>
          <w:rFonts w:cs="Calibri"/>
          <w:sz w:val="26"/>
          <w:szCs w:val="26"/>
        </w:rPr>
      </w:pPr>
      <w:r w:rsidRPr="00D1550C">
        <w:rPr>
          <w:sz w:val="26"/>
          <w:szCs w:val="26"/>
        </w:rPr>
        <w:t>Total external debt maintains a growing trend. This process is explained, for government debt, by the attraction of new external borrowings to finance government programs for the development of industries and region, while</w:t>
      </w:r>
      <w:r w:rsidR="00E94330" w:rsidRPr="00D1550C">
        <w:rPr>
          <w:sz w:val="26"/>
          <w:szCs w:val="26"/>
        </w:rPr>
        <w:t xml:space="preserve"> </w:t>
      </w:r>
      <w:r w:rsidRPr="00D1550C">
        <w:rPr>
          <w:rFonts w:cs="Calibri"/>
          <w:sz w:val="26"/>
          <w:szCs w:val="26"/>
        </w:rPr>
        <w:t xml:space="preserve">private sector debt started to increase mostly due to </w:t>
      </w:r>
      <w:r w:rsidR="00A95C6F" w:rsidRPr="00D1550C">
        <w:rPr>
          <w:rFonts w:cs="Calibri"/>
          <w:sz w:val="26"/>
          <w:szCs w:val="26"/>
        </w:rPr>
        <w:t>attracting new loans</w:t>
      </w:r>
      <w:r w:rsidR="00FD50CE" w:rsidRPr="00D1550C">
        <w:rPr>
          <w:rFonts w:cs="Calibri"/>
          <w:sz w:val="26"/>
          <w:szCs w:val="26"/>
        </w:rPr>
        <w:t xml:space="preserve"> </w:t>
      </w:r>
      <w:r w:rsidRPr="00D1550C">
        <w:rPr>
          <w:rFonts w:cs="Calibri"/>
          <w:sz w:val="26"/>
          <w:szCs w:val="26"/>
        </w:rPr>
        <w:t xml:space="preserve">and repayment of existing debt </w:t>
      </w:r>
      <w:r w:rsidR="005E4516" w:rsidRPr="00D1550C">
        <w:rPr>
          <w:rFonts w:cs="Calibri"/>
          <w:sz w:val="26"/>
          <w:szCs w:val="26"/>
        </w:rPr>
        <w:t xml:space="preserve">by the commercial banks and other sectors of the economy. </w:t>
      </w:r>
      <w:r w:rsidR="007D7C71" w:rsidRPr="00D1550C">
        <w:rPr>
          <w:rFonts w:cs="Calibri"/>
          <w:color w:val="0070C0"/>
          <w:sz w:val="26"/>
          <w:szCs w:val="26"/>
        </w:rPr>
        <w:t xml:space="preserve">(Figure </w:t>
      </w:r>
      <w:r w:rsidR="000366DF" w:rsidRPr="00D1550C">
        <w:rPr>
          <w:rFonts w:cs="Calibri"/>
          <w:color w:val="0070C0"/>
          <w:sz w:val="26"/>
          <w:szCs w:val="26"/>
        </w:rPr>
        <w:t>2</w:t>
      </w:r>
      <w:r w:rsidR="00804478" w:rsidRPr="00D1550C">
        <w:rPr>
          <w:rFonts w:cs="Calibri"/>
          <w:color w:val="0070C0"/>
          <w:sz w:val="26"/>
          <w:szCs w:val="26"/>
        </w:rPr>
        <w:t>0</w:t>
      </w:r>
      <w:r w:rsidR="007D7C71" w:rsidRPr="00D1550C">
        <w:rPr>
          <w:rFonts w:cs="Calibri"/>
          <w:color w:val="0070C0"/>
          <w:sz w:val="26"/>
          <w:szCs w:val="26"/>
        </w:rPr>
        <w:t>)</w:t>
      </w:r>
      <w:r w:rsidR="007D7C71" w:rsidRPr="00D1550C">
        <w:rPr>
          <w:rFonts w:cs="Calibri"/>
          <w:sz w:val="26"/>
          <w:szCs w:val="26"/>
        </w:rPr>
        <w:t>.</w:t>
      </w:r>
    </w:p>
    <w:p w:rsidR="006B50A3" w:rsidRPr="00D1550C" w:rsidRDefault="009A7462" w:rsidP="009A7462">
      <w:pPr>
        <w:spacing w:before="120" w:line="288" w:lineRule="auto"/>
        <w:ind w:firstLine="709"/>
        <w:jc w:val="right"/>
        <w:rPr>
          <w:rFonts w:cs="Calibri"/>
          <w:sz w:val="26"/>
          <w:szCs w:val="26"/>
        </w:rPr>
      </w:pPr>
      <w:r w:rsidRPr="00D1550C">
        <w:t xml:space="preserve"> </w:t>
      </w:r>
      <w:r w:rsidR="00274AE7" w:rsidRPr="00D1550C">
        <w:t>F</w:t>
      </w:r>
      <w:r w:rsidR="00B23450" w:rsidRPr="00D1550C">
        <w:t>igure</w:t>
      </w:r>
      <w:r w:rsidR="000F636F" w:rsidRPr="00D1550C">
        <w:t xml:space="preserve"> </w:t>
      </w:r>
      <w:r w:rsidR="000366DF" w:rsidRPr="00D1550C">
        <w:t>2</w:t>
      </w:r>
      <w:r w:rsidR="00804478" w:rsidRPr="00D1550C">
        <w:t>0</w:t>
      </w:r>
    </w:p>
    <w:p w:rsidR="008A5928" w:rsidRPr="00D1550C" w:rsidRDefault="008A5928" w:rsidP="007D7C71">
      <w:pPr>
        <w:spacing w:before="80" w:after="240"/>
        <w:jc w:val="center"/>
        <w:rPr>
          <w:rFonts w:cs="Calibri"/>
          <w:b/>
          <w:sz w:val="26"/>
          <w:szCs w:val="26"/>
        </w:rPr>
      </w:pPr>
      <w:r w:rsidRPr="00D1550C">
        <w:rPr>
          <w:rFonts w:cs="Calibri"/>
          <w:b/>
          <w:sz w:val="28"/>
          <w:szCs w:val="26"/>
        </w:rPr>
        <w:t>TIME SERIES OF TOTAL EXTERNAL DEBT OF THE REPUBLIC OF UZBEKISTAN</w:t>
      </w:r>
      <w:r w:rsidRPr="00D1550C">
        <w:rPr>
          <w:rStyle w:val="a9"/>
          <w:rFonts w:cs="Calibri"/>
          <w:sz w:val="26"/>
          <w:szCs w:val="26"/>
        </w:rPr>
        <w:footnoteReference w:id="8"/>
      </w:r>
    </w:p>
    <w:p w:rsidR="00372E68" w:rsidRPr="00D1550C" w:rsidRDefault="000F636F" w:rsidP="00095CD1">
      <w:pPr>
        <w:spacing w:before="80"/>
        <w:jc w:val="right"/>
        <w:rPr>
          <w:i/>
        </w:rPr>
      </w:pPr>
      <w:r w:rsidRPr="00D1550C">
        <w:rPr>
          <w:i/>
          <w:sz w:val="22"/>
        </w:rPr>
        <w:t>(</w:t>
      </w:r>
      <w:r w:rsidR="008A5928" w:rsidRPr="00D1550C">
        <w:rPr>
          <w:i/>
          <w:sz w:val="22"/>
        </w:rPr>
        <w:t>b</w:t>
      </w:r>
      <w:r w:rsidR="00A94B6B" w:rsidRPr="00D1550C">
        <w:rPr>
          <w:i/>
          <w:sz w:val="22"/>
        </w:rPr>
        <w:t>i</w:t>
      </w:r>
      <w:r w:rsidR="008A5928" w:rsidRPr="00D1550C">
        <w:rPr>
          <w:i/>
          <w:sz w:val="22"/>
        </w:rPr>
        <w:t>l</w:t>
      </w:r>
      <w:r w:rsidR="00A94B6B" w:rsidRPr="00D1550C">
        <w:rPr>
          <w:i/>
          <w:sz w:val="22"/>
        </w:rPr>
        <w:t>lion</w:t>
      </w:r>
      <w:r w:rsidR="006733FA" w:rsidRPr="00D1550C">
        <w:rPr>
          <w:i/>
          <w:sz w:val="22"/>
        </w:rPr>
        <w:t xml:space="preserve"> </w:t>
      </w:r>
      <w:r w:rsidR="008A5928" w:rsidRPr="00D1550C">
        <w:rPr>
          <w:i/>
          <w:sz w:val="22"/>
        </w:rPr>
        <w:t>USD</w:t>
      </w:r>
      <w:r w:rsidR="006733FA" w:rsidRPr="00D1550C">
        <w:rPr>
          <w:i/>
          <w:sz w:val="22"/>
        </w:rPr>
        <w:t>)</w:t>
      </w:r>
    </w:p>
    <w:p w:rsidR="00733304" w:rsidRPr="00D1550C" w:rsidRDefault="009A7462" w:rsidP="00733304">
      <w:pPr>
        <w:rPr>
          <w:rFonts w:cs="Arial"/>
        </w:rPr>
      </w:pPr>
      <w:r w:rsidRPr="00D1550C">
        <w:rPr>
          <w:noProof/>
          <w:lang w:val="ru-RU"/>
        </w:rPr>
        <w:drawing>
          <wp:inline distT="0" distB="0" distL="0" distR="0" wp14:anchorId="49EB4BD1" wp14:editId="3C0CA174">
            <wp:extent cx="6369050" cy="4584700"/>
            <wp:effectExtent l="0" t="0" r="12700" b="6350"/>
            <wp:docPr id="24" name="Диаграмма 2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33FA" w:rsidRPr="00D1550C" w:rsidRDefault="007D7C71" w:rsidP="006920C5">
      <w:pPr>
        <w:spacing w:before="120" w:after="120" w:line="288" w:lineRule="auto"/>
        <w:ind w:firstLine="709"/>
        <w:jc w:val="both"/>
        <w:rPr>
          <w:i/>
        </w:rPr>
      </w:pPr>
      <w:r w:rsidRPr="00D1550C">
        <w:rPr>
          <w:sz w:val="26"/>
          <w:szCs w:val="26"/>
        </w:rPr>
        <w:lastRenderedPageBreak/>
        <w:t xml:space="preserve">The volume of </w:t>
      </w:r>
      <w:r w:rsidR="008F42D9" w:rsidRPr="00D1550C">
        <w:rPr>
          <w:sz w:val="26"/>
          <w:szCs w:val="26"/>
        </w:rPr>
        <w:t>total</w:t>
      </w:r>
      <w:r w:rsidRPr="00D1550C">
        <w:rPr>
          <w:sz w:val="26"/>
          <w:szCs w:val="26"/>
        </w:rPr>
        <w:t xml:space="preserve"> external debt of the Republic of Uzbekistan as of </w:t>
      </w:r>
      <w:r w:rsidR="005211CF" w:rsidRPr="00D1550C">
        <w:rPr>
          <w:sz w:val="26"/>
          <w:szCs w:val="26"/>
        </w:rPr>
        <w:t xml:space="preserve">July </w:t>
      </w:r>
      <w:r w:rsidRPr="00D1550C">
        <w:rPr>
          <w:sz w:val="26"/>
          <w:szCs w:val="26"/>
        </w:rPr>
        <w:t>1, 202</w:t>
      </w:r>
      <w:r w:rsidR="000366DF" w:rsidRPr="00D1550C">
        <w:rPr>
          <w:sz w:val="26"/>
          <w:szCs w:val="26"/>
        </w:rPr>
        <w:t>1</w:t>
      </w:r>
      <w:r w:rsidRPr="00D1550C">
        <w:rPr>
          <w:sz w:val="26"/>
          <w:szCs w:val="26"/>
        </w:rPr>
        <w:t xml:space="preserve"> stood at USD </w:t>
      </w:r>
      <w:r w:rsidR="005211CF" w:rsidRPr="00D1550C">
        <w:rPr>
          <w:sz w:val="26"/>
          <w:szCs w:val="26"/>
        </w:rPr>
        <w:t>35</w:t>
      </w:r>
      <w:r w:rsidR="009F526E" w:rsidRPr="00D1550C">
        <w:rPr>
          <w:sz w:val="26"/>
          <w:szCs w:val="26"/>
        </w:rPr>
        <w:t>.</w:t>
      </w:r>
      <w:r w:rsidR="005211CF" w:rsidRPr="00D1550C">
        <w:rPr>
          <w:sz w:val="26"/>
          <w:szCs w:val="26"/>
        </w:rPr>
        <w:t>9</w:t>
      </w:r>
      <w:r w:rsidRPr="00D1550C">
        <w:rPr>
          <w:sz w:val="26"/>
          <w:szCs w:val="26"/>
        </w:rPr>
        <w:t xml:space="preserve"> billion, showing an increase by </w:t>
      </w:r>
      <w:r w:rsidR="005211CF" w:rsidRPr="00D1550C">
        <w:rPr>
          <w:sz w:val="26"/>
          <w:szCs w:val="26"/>
        </w:rPr>
        <w:t>6,0</w:t>
      </w:r>
      <w:r w:rsidRPr="00D1550C">
        <w:rPr>
          <w:sz w:val="26"/>
          <w:szCs w:val="26"/>
        </w:rPr>
        <w:t xml:space="preserve">% </w:t>
      </w:r>
      <w:r w:rsidR="005211CF" w:rsidRPr="00D1550C">
        <w:rPr>
          <w:sz w:val="26"/>
          <w:szCs w:val="26"/>
        </w:rPr>
        <w:t xml:space="preserve">or USD </w:t>
      </w:r>
      <w:r w:rsidR="000366DF" w:rsidRPr="00D1550C">
        <w:rPr>
          <w:sz w:val="26"/>
          <w:szCs w:val="26"/>
        </w:rPr>
        <w:t>2</w:t>
      </w:r>
      <w:r w:rsidRPr="00D1550C">
        <w:rPr>
          <w:sz w:val="26"/>
          <w:szCs w:val="26"/>
        </w:rPr>
        <w:t xml:space="preserve"> billion in comparison with the beginning of </w:t>
      </w:r>
      <w:r w:rsidR="005211CF" w:rsidRPr="00D1550C">
        <w:rPr>
          <w:sz w:val="26"/>
          <w:szCs w:val="26"/>
        </w:rPr>
        <w:t>2021</w:t>
      </w:r>
      <w:r w:rsidRPr="00D1550C">
        <w:rPr>
          <w:rStyle w:val="a9"/>
          <w:rFonts w:cs="Calibri"/>
          <w:sz w:val="26"/>
          <w:szCs w:val="26"/>
        </w:rPr>
        <w:footnoteReference w:id="9"/>
      </w:r>
      <w:r w:rsidRPr="00D1550C">
        <w:rPr>
          <w:rFonts w:cs="Calibri"/>
          <w:sz w:val="26"/>
          <w:szCs w:val="26"/>
        </w:rPr>
        <w:t xml:space="preserve"> </w:t>
      </w:r>
      <w:r w:rsidRPr="00D1550C">
        <w:rPr>
          <w:rFonts w:cs="Calibri"/>
          <w:color w:val="0070C0"/>
          <w:sz w:val="26"/>
          <w:szCs w:val="26"/>
        </w:rPr>
        <w:t xml:space="preserve">(Table </w:t>
      </w:r>
      <w:r w:rsidR="00804478" w:rsidRPr="00D1550C">
        <w:rPr>
          <w:rFonts w:cs="Calibri"/>
          <w:color w:val="0070C0"/>
          <w:sz w:val="26"/>
          <w:szCs w:val="26"/>
        </w:rPr>
        <w:t>3</w:t>
      </w:r>
      <w:r w:rsidRPr="00D1550C">
        <w:rPr>
          <w:rFonts w:cs="Calibri"/>
          <w:color w:val="0070C0"/>
          <w:sz w:val="26"/>
          <w:szCs w:val="26"/>
        </w:rPr>
        <w:t>).</w:t>
      </w:r>
    </w:p>
    <w:p w:rsidR="006B50A3" w:rsidRPr="00D1550C" w:rsidRDefault="006920C5" w:rsidP="00A863A4">
      <w:pPr>
        <w:ind w:right="-1"/>
        <w:jc w:val="right"/>
      </w:pPr>
      <w:r w:rsidRPr="00D1550C">
        <w:t>Table</w:t>
      </w:r>
      <w:r w:rsidR="00733304" w:rsidRPr="00D1550C">
        <w:t xml:space="preserve"> </w:t>
      </w:r>
      <w:r w:rsidR="00804478" w:rsidRPr="00D1550C">
        <w:t>3</w:t>
      </w:r>
    </w:p>
    <w:p w:rsidR="00733304" w:rsidRPr="00D1550C" w:rsidRDefault="006920C5" w:rsidP="00A863A4">
      <w:pPr>
        <w:ind w:right="-284"/>
        <w:jc w:val="center"/>
        <w:rPr>
          <w:b/>
          <w:sz w:val="26"/>
          <w:szCs w:val="26"/>
        </w:rPr>
      </w:pPr>
      <w:r w:rsidRPr="00D1550C">
        <w:rPr>
          <w:rFonts w:cs="Calibri"/>
          <w:b/>
          <w:sz w:val="28"/>
          <w:szCs w:val="26"/>
        </w:rPr>
        <w:t>STRUCTURE AND CHANGE OF TOTAL EXTERNAL DEBT</w:t>
      </w:r>
      <w:r w:rsidRPr="00D1550C">
        <w:rPr>
          <w:rStyle w:val="a9"/>
          <w:rFonts w:cs="Calibri"/>
          <w:sz w:val="28"/>
          <w:szCs w:val="26"/>
        </w:rPr>
        <w:t xml:space="preserve"> </w:t>
      </w:r>
      <w:r w:rsidRPr="00D1550C">
        <w:rPr>
          <w:rStyle w:val="a9"/>
          <w:rFonts w:cs="Calibri"/>
          <w:b/>
          <w:sz w:val="26"/>
          <w:szCs w:val="26"/>
        </w:rPr>
        <w:footnoteReference w:id="10"/>
      </w:r>
    </w:p>
    <w:p w:rsidR="00A863A4" w:rsidRDefault="00A863A4" w:rsidP="00A863A4">
      <w:pPr>
        <w:ind w:right="-2"/>
        <w:jc w:val="right"/>
        <w:rPr>
          <w:i/>
        </w:rPr>
      </w:pPr>
    </w:p>
    <w:p w:rsidR="00733304" w:rsidRPr="00D1550C" w:rsidRDefault="006B50A3" w:rsidP="00A863A4">
      <w:pPr>
        <w:ind w:right="-2"/>
        <w:jc w:val="right"/>
        <w:rPr>
          <w:i/>
        </w:rPr>
      </w:pPr>
      <w:r w:rsidRPr="00D1550C">
        <w:rPr>
          <w:i/>
        </w:rPr>
        <w:t>(</w:t>
      </w:r>
      <w:r w:rsidR="00C1736C" w:rsidRPr="00D1550C">
        <w:rPr>
          <w:i/>
        </w:rPr>
        <w:t>mln</w:t>
      </w:r>
      <w:r w:rsidR="0061403B" w:rsidRPr="00D1550C">
        <w:rPr>
          <w:i/>
        </w:rPr>
        <w:t>.</w:t>
      </w:r>
      <w:r w:rsidR="00C1736C" w:rsidRPr="00D1550C">
        <w:rPr>
          <w:i/>
        </w:rPr>
        <w:t xml:space="preserve"> USD</w:t>
      </w:r>
      <w:r w:rsidRPr="00D1550C">
        <w:rPr>
          <w:i/>
        </w:rPr>
        <w:t>)</w:t>
      </w:r>
    </w:p>
    <w:tbl>
      <w:tblPr>
        <w:tblW w:w="9936"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700"/>
        <w:gridCol w:w="1419"/>
        <w:gridCol w:w="1418"/>
        <w:gridCol w:w="1417"/>
        <w:gridCol w:w="1286"/>
        <w:gridCol w:w="1696"/>
      </w:tblGrid>
      <w:tr w:rsidR="00C1736C" w:rsidRPr="00D1550C" w:rsidTr="007A7115">
        <w:trPr>
          <w:trHeight w:val="600"/>
          <w:jc w:val="center"/>
        </w:trPr>
        <w:tc>
          <w:tcPr>
            <w:tcW w:w="2700" w:type="dxa"/>
            <w:vMerge w:val="restart"/>
            <w:shd w:val="clear" w:color="auto" w:fill="auto"/>
            <w:vAlign w:val="center"/>
          </w:tcPr>
          <w:p w:rsidR="00C1736C" w:rsidRPr="00D1550C" w:rsidRDefault="00C1736C" w:rsidP="00A863A4">
            <w:pPr>
              <w:jc w:val="center"/>
              <w:rPr>
                <w:rFonts w:cs="Calibri"/>
                <w:b/>
                <w:color w:val="000000"/>
              </w:rPr>
            </w:pPr>
            <w:r w:rsidRPr="00D1550C">
              <w:rPr>
                <w:rFonts w:cs="Calibri"/>
                <w:b/>
                <w:color w:val="000000"/>
              </w:rPr>
              <w:t>Sector of economy</w:t>
            </w:r>
          </w:p>
        </w:tc>
        <w:tc>
          <w:tcPr>
            <w:tcW w:w="4254" w:type="dxa"/>
            <w:gridSpan w:val="3"/>
            <w:shd w:val="clear" w:color="auto" w:fill="auto"/>
            <w:vAlign w:val="center"/>
          </w:tcPr>
          <w:p w:rsidR="00C1736C" w:rsidRPr="00D1550C" w:rsidRDefault="00C1736C" w:rsidP="00A863A4">
            <w:pPr>
              <w:jc w:val="center"/>
              <w:rPr>
                <w:rFonts w:cs="Calibri"/>
                <w:b/>
                <w:color w:val="000000"/>
              </w:rPr>
            </w:pPr>
            <w:r w:rsidRPr="00D1550C">
              <w:rPr>
                <w:rFonts w:cs="Calibri"/>
                <w:b/>
                <w:color w:val="000000"/>
              </w:rPr>
              <w:t>External debt as of</w:t>
            </w:r>
          </w:p>
        </w:tc>
        <w:tc>
          <w:tcPr>
            <w:tcW w:w="1286" w:type="dxa"/>
            <w:vMerge w:val="restart"/>
            <w:shd w:val="clear" w:color="auto" w:fill="auto"/>
            <w:vAlign w:val="center"/>
          </w:tcPr>
          <w:p w:rsidR="00C1736C" w:rsidRPr="00D1550C" w:rsidRDefault="00C1736C" w:rsidP="00A863A4">
            <w:pPr>
              <w:jc w:val="center"/>
              <w:rPr>
                <w:rFonts w:cs="Calibri"/>
                <w:b/>
                <w:color w:val="000000"/>
              </w:rPr>
            </w:pPr>
            <w:r w:rsidRPr="00D1550C">
              <w:rPr>
                <w:rFonts w:cs="Calibri"/>
                <w:b/>
                <w:color w:val="000000"/>
              </w:rPr>
              <w:t>Share</w:t>
            </w:r>
          </w:p>
        </w:tc>
        <w:tc>
          <w:tcPr>
            <w:tcW w:w="1696" w:type="dxa"/>
            <w:vMerge w:val="restart"/>
            <w:shd w:val="clear" w:color="auto" w:fill="auto"/>
            <w:vAlign w:val="center"/>
          </w:tcPr>
          <w:p w:rsidR="00C1736C" w:rsidRPr="00D1550C" w:rsidRDefault="00AE44E8" w:rsidP="00A863A4">
            <w:pPr>
              <w:jc w:val="center"/>
              <w:rPr>
                <w:rFonts w:cs="Calibri"/>
                <w:b/>
                <w:color w:val="000000"/>
              </w:rPr>
            </w:pPr>
            <w:r w:rsidRPr="00D1550C">
              <w:rPr>
                <w:rFonts w:cs="Calibri"/>
                <w:b/>
                <w:color w:val="000000"/>
              </w:rPr>
              <w:t xml:space="preserve">Change in the first </w:t>
            </w:r>
            <w:r w:rsidR="009A7462" w:rsidRPr="00D1550C">
              <w:rPr>
                <w:rFonts w:cs="Calibri"/>
                <w:b/>
                <w:color w:val="000000"/>
              </w:rPr>
              <w:t>half</w:t>
            </w:r>
            <w:r w:rsidRPr="00D1550C">
              <w:rPr>
                <w:rFonts w:cs="Calibri"/>
                <w:b/>
                <w:color w:val="000000"/>
              </w:rPr>
              <w:t xml:space="preserve"> of 2021</w:t>
            </w:r>
          </w:p>
        </w:tc>
      </w:tr>
      <w:tr w:rsidR="000366DF" w:rsidRPr="00D1550C" w:rsidTr="00A863A4">
        <w:trPr>
          <w:trHeight w:val="301"/>
          <w:jc w:val="center"/>
        </w:trPr>
        <w:tc>
          <w:tcPr>
            <w:tcW w:w="2700" w:type="dxa"/>
            <w:vMerge/>
            <w:shd w:val="clear" w:color="auto" w:fill="auto"/>
            <w:vAlign w:val="center"/>
          </w:tcPr>
          <w:p w:rsidR="000366DF" w:rsidRPr="00D1550C" w:rsidRDefault="000366DF" w:rsidP="00A863A4">
            <w:pPr>
              <w:rPr>
                <w:rFonts w:cs="Calibri"/>
                <w:b/>
                <w:color w:val="000000"/>
              </w:rPr>
            </w:pPr>
          </w:p>
        </w:tc>
        <w:tc>
          <w:tcPr>
            <w:tcW w:w="1419" w:type="dxa"/>
            <w:shd w:val="clear" w:color="auto" w:fill="auto"/>
            <w:vAlign w:val="center"/>
          </w:tcPr>
          <w:p w:rsidR="000366DF" w:rsidRPr="00D1550C" w:rsidRDefault="000366DF" w:rsidP="00A863A4">
            <w:pPr>
              <w:jc w:val="center"/>
              <w:rPr>
                <w:rFonts w:asciiTheme="minorHAnsi" w:hAnsiTheme="minorHAnsi" w:cstheme="minorHAnsi"/>
                <w:b/>
                <w:color w:val="000000"/>
                <w:sz w:val="20"/>
                <w:szCs w:val="20"/>
              </w:rPr>
            </w:pPr>
            <w:r w:rsidRPr="00D1550C">
              <w:rPr>
                <w:rFonts w:asciiTheme="minorHAnsi" w:hAnsiTheme="minorHAnsi" w:cstheme="minorHAnsi"/>
                <w:b/>
                <w:color w:val="000000"/>
                <w:sz w:val="20"/>
                <w:szCs w:val="20"/>
              </w:rPr>
              <w:t>01.01.20</w:t>
            </w:r>
            <w:r w:rsidR="00AE44E8" w:rsidRPr="00D1550C">
              <w:rPr>
                <w:rFonts w:asciiTheme="minorHAnsi" w:hAnsiTheme="minorHAnsi" w:cstheme="minorHAnsi"/>
                <w:b/>
                <w:color w:val="000000"/>
                <w:sz w:val="20"/>
                <w:szCs w:val="20"/>
              </w:rPr>
              <w:t>20</w:t>
            </w:r>
          </w:p>
        </w:tc>
        <w:tc>
          <w:tcPr>
            <w:tcW w:w="1418" w:type="dxa"/>
            <w:shd w:val="clear" w:color="auto" w:fill="auto"/>
            <w:vAlign w:val="center"/>
          </w:tcPr>
          <w:p w:rsidR="000366DF" w:rsidRPr="00D1550C" w:rsidRDefault="000366DF" w:rsidP="00A863A4">
            <w:pPr>
              <w:jc w:val="center"/>
              <w:rPr>
                <w:rFonts w:asciiTheme="minorHAnsi" w:hAnsiTheme="minorHAnsi" w:cstheme="minorHAnsi"/>
                <w:b/>
                <w:color w:val="000000"/>
                <w:sz w:val="20"/>
                <w:szCs w:val="20"/>
              </w:rPr>
            </w:pPr>
            <w:r w:rsidRPr="00D1550C">
              <w:rPr>
                <w:rFonts w:asciiTheme="minorHAnsi" w:hAnsiTheme="minorHAnsi" w:cstheme="minorHAnsi"/>
                <w:b/>
                <w:color w:val="000000"/>
                <w:sz w:val="20"/>
                <w:szCs w:val="20"/>
              </w:rPr>
              <w:t>01.01.202</w:t>
            </w:r>
            <w:r w:rsidR="00AE44E8" w:rsidRPr="00D1550C">
              <w:rPr>
                <w:rFonts w:asciiTheme="minorHAnsi" w:hAnsiTheme="minorHAnsi" w:cstheme="minorHAnsi"/>
                <w:b/>
                <w:color w:val="000000"/>
                <w:sz w:val="20"/>
                <w:szCs w:val="20"/>
              </w:rPr>
              <w:t>1</w:t>
            </w:r>
          </w:p>
        </w:tc>
        <w:tc>
          <w:tcPr>
            <w:tcW w:w="1417" w:type="dxa"/>
            <w:shd w:val="clear" w:color="auto" w:fill="auto"/>
            <w:vAlign w:val="center"/>
          </w:tcPr>
          <w:p w:rsidR="000366DF" w:rsidRPr="00D1550C" w:rsidRDefault="000366DF" w:rsidP="00A863A4">
            <w:pPr>
              <w:jc w:val="center"/>
              <w:rPr>
                <w:rFonts w:asciiTheme="minorHAnsi" w:hAnsiTheme="minorHAnsi" w:cstheme="minorHAnsi"/>
                <w:b/>
                <w:color w:val="000000"/>
                <w:sz w:val="20"/>
                <w:szCs w:val="20"/>
              </w:rPr>
            </w:pPr>
            <w:r w:rsidRPr="00D1550C">
              <w:rPr>
                <w:rFonts w:asciiTheme="minorHAnsi" w:hAnsiTheme="minorHAnsi" w:cstheme="minorHAnsi"/>
                <w:b/>
                <w:color w:val="000000"/>
                <w:sz w:val="20"/>
                <w:szCs w:val="20"/>
              </w:rPr>
              <w:t>01.0</w:t>
            </w:r>
            <w:r w:rsidR="009A7462" w:rsidRPr="00D1550C">
              <w:rPr>
                <w:rFonts w:asciiTheme="minorHAnsi" w:hAnsiTheme="minorHAnsi" w:cstheme="minorHAnsi"/>
                <w:b/>
                <w:color w:val="000000"/>
                <w:sz w:val="20"/>
                <w:szCs w:val="20"/>
              </w:rPr>
              <w:t>7</w:t>
            </w:r>
            <w:r w:rsidRPr="00D1550C">
              <w:rPr>
                <w:rFonts w:asciiTheme="minorHAnsi" w:hAnsiTheme="minorHAnsi" w:cstheme="minorHAnsi"/>
                <w:b/>
                <w:color w:val="000000"/>
                <w:sz w:val="20"/>
                <w:szCs w:val="20"/>
              </w:rPr>
              <w:t>.2021</w:t>
            </w:r>
          </w:p>
        </w:tc>
        <w:tc>
          <w:tcPr>
            <w:tcW w:w="1286" w:type="dxa"/>
            <w:vMerge/>
            <w:shd w:val="clear" w:color="auto" w:fill="auto"/>
            <w:vAlign w:val="center"/>
          </w:tcPr>
          <w:p w:rsidR="000366DF" w:rsidRPr="00D1550C" w:rsidRDefault="000366DF" w:rsidP="00A863A4">
            <w:pPr>
              <w:jc w:val="center"/>
              <w:rPr>
                <w:rFonts w:cs="Calibri"/>
                <w:color w:val="000000"/>
              </w:rPr>
            </w:pPr>
          </w:p>
        </w:tc>
        <w:tc>
          <w:tcPr>
            <w:tcW w:w="1696" w:type="dxa"/>
            <w:vMerge/>
            <w:shd w:val="clear" w:color="auto" w:fill="auto"/>
            <w:vAlign w:val="center"/>
          </w:tcPr>
          <w:p w:rsidR="000366DF" w:rsidRPr="00D1550C" w:rsidRDefault="000366DF" w:rsidP="00A863A4">
            <w:pPr>
              <w:jc w:val="center"/>
              <w:rPr>
                <w:rFonts w:cs="Calibri"/>
                <w:color w:val="000000"/>
              </w:rPr>
            </w:pPr>
          </w:p>
        </w:tc>
      </w:tr>
      <w:tr w:rsidR="00452F66" w:rsidRPr="00D1550C" w:rsidTr="00A863A4">
        <w:trPr>
          <w:trHeight w:val="210"/>
          <w:jc w:val="center"/>
        </w:trPr>
        <w:tc>
          <w:tcPr>
            <w:tcW w:w="2700" w:type="dxa"/>
            <w:shd w:val="clear" w:color="auto" w:fill="BDD6EE" w:themeFill="accent1" w:themeFillTint="66"/>
            <w:vAlign w:val="center"/>
          </w:tcPr>
          <w:p w:rsidR="00452F66" w:rsidRPr="00D1550C" w:rsidRDefault="00452F66" w:rsidP="00A863A4">
            <w:pPr>
              <w:jc w:val="center"/>
              <w:rPr>
                <w:rFonts w:cs="Calibri"/>
                <w:b/>
                <w:color w:val="000000"/>
              </w:rPr>
            </w:pPr>
            <w:r w:rsidRPr="00D1550C">
              <w:rPr>
                <w:rFonts w:cs="Calibri"/>
                <w:b/>
                <w:color w:val="000000"/>
              </w:rPr>
              <w:t>Total</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452F66" w:rsidRPr="00D1550C" w:rsidRDefault="00452F66" w:rsidP="00A863A4">
            <w:pPr>
              <w:jc w:val="center"/>
              <w:rPr>
                <w:rFonts w:asciiTheme="minorHAnsi" w:hAnsiTheme="minorHAnsi" w:cstheme="minorHAnsi"/>
                <w:b/>
                <w:bCs/>
                <w:color w:val="000000"/>
              </w:rPr>
            </w:pPr>
            <w:r w:rsidRPr="00D1550C">
              <w:rPr>
                <w:rFonts w:cs="Calibri"/>
                <w:b/>
                <w:color w:val="000000"/>
              </w:rPr>
              <w:t>24 632,0</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452F66" w:rsidRPr="00D1550C" w:rsidRDefault="00452F66" w:rsidP="00A863A4">
            <w:pPr>
              <w:jc w:val="center"/>
              <w:rPr>
                <w:rFonts w:cs="Calibri"/>
                <w:b/>
                <w:color w:val="000000"/>
              </w:rPr>
            </w:pPr>
            <w:r w:rsidRPr="00D1550C">
              <w:rPr>
                <w:rFonts w:cs="Calibri"/>
                <w:b/>
                <w:color w:val="000000"/>
              </w:rPr>
              <w:t>33 845,5</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452F66" w:rsidRPr="00D1550C" w:rsidRDefault="00452F66" w:rsidP="00A863A4">
            <w:pPr>
              <w:jc w:val="center"/>
              <w:rPr>
                <w:rFonts w:asciiTheme="minorHAnsi" w:hAnsiTheme="minorHAnsi" w:cstheme="minorHAnsi"/>
                <w:b/>
                <w:color w:val="000000"/>
              </w:rPr>
            </w:pPr>
            <w:r w:rsidRPr="00D1550C">
              <w:rPr>
                <w:rFonts w:asciiTheme="minorHAnsi" w:hAnsiTheme="minorHAnsi" w:cstheme="minorHAnsi"/>
                <w:b/>
                <w:color w:val="000000"/>
              </w:rPr>
              <w:t>35 894,9</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452F66" w:rsidRPr="00D1550C" w:rsidRDefault="00452F66" w:rsidP="00A863A4">
            <w:pPr>
              <w:jc w:val="center"/>
              <w:rPr>
                <w:rFonts w:asciiTheme="minorHAnsi" w:hAnsiTheme="minorHAnsi" w:cstheme="minorHAnsi"/>
                <w:b/>
                <w:color w:val="000000"/>
                <w:sz w:val="23"/>
                <w:szCs w:val="23"/>
              </w:rPr>
            </w:pPr>
            <w:r w:rsidRPr="00D1550C">
              <w:rPr>
                <w:rFonts w:asciiTheme="minorHAnsi" w:hAnsiTheme="minorHAnsi" w:cstheme="minorHAnsi"/>
                <w:b/>
                <w:color w:val="000000"/>
                <w:sz w:val="23"/>
                <w:szCs w:val="23"/>
              </w:rPr>
              <w:t>100%</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452F66" w:rsidRPr="00D1550C" w:rsidRDefault="00452F66" w:rsidP="00A863A4">
            <w:pPr>
              <w:jc w:val="center"/>
              <w:rPr>
                <w:rFonts w:asciiTheme="minorHAnsi" w:hAnsiTheme="minorHAnsi" w:cstheme="minorHAnsi"/>
                <w:b/>
                <w:color w:val="000000"/>
              </w:rPr>
            </w:pPr>
            <w:r w:rsidRPr="00D1550C">
              <w:rPr>
                <w:rFonts w:asciiTheme="minorHAnsi" w:hAnsiTheme="minorHAnsi" w:cstheme="minorHAnsi"/>
                <w:b/>
                <w:color w:val="000000"/>
              </w:rPr>
              <w:t>2 049,5</w:t>
            </w:r>
          </w:p>
        </w:tc>
      </w:tr>
      <w:tr w:rsidR="00452F66" w:rsidRPr="00D1550C" w:rsidTr="007A7115">
        <w:trPr>
          <w:trHeight w:val="300"/>
          <w:jc w:val="center"/>
        </w:trPr>
        <w:tc>
          <w:tcPr>
            <w:tcW w:w="2700" w:type="dxa"/>
            <w:shd w:val="clear" w:color="auto" w:fill="auto"/>
            <w:noWrap/>
            <w:vAlign w:val="center"/>
          </w:tcPr>
          <w:p w:rsidR="00452F66" w:rsidRPr="00D1550C" w:rsidRDefault="00452F66" w:rsidP="00A863A4">
            <w:pPr>
              <w:rPr>
                <w:rFonts w:cs="Calibri"/>
                <w:b/>
                <w:color w:val="000000"/>
              </w:rPr>
            </w:pPr>
            <w:r w:rsidRPr="00D1550C">
              <w:rPr>
                <w:rFonts w:cs="Calibri"/>
                <w:b/>
                <w:color w:val="000000"/>
              </w:rPr>
              <w:t>Government external debt</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cs="Calibri"/>
                <w:b/>
                <w:color w:val="000000"/>
              </w:rPr>
              <w:t>15 869,6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cs="Calibri"/>
                <w:b/>
                <w:color w:val="000000"/>
              </w:rPr>
            </w:pPr>
            <w:r w:rsidRPr="00D1550C">
              <w:rPr>
                <w:rFonts w:cs="Calibri"/>
                <w:b/>
                <w:color w:val="000000"/>
              </w:rPr>
              <w:t>21 358,1</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cs="Calibri"/>
                <w:b/>
                <w:color w:val="000000"/>
              </w:rPr>
            </w:pPr>
            <w:r w:rsidRPr="00D1550C">
              <w:rPr>
                <w:rFonts w:cs="Calibri"/>
                <w:b/>
                <w:color w:val="000000"/>
              </w:rPr>
              <w:t>21 985,9</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cs="Calibri"/>
                <w:b/>
                <w:color w:val="000000"/>
                <w:sz w:val="23"/>
                <w:szCs w:val="23"/>
              </w:rPr>
            </w:pPr>
            <w:r w:rsidRPr="00D1550C">
              <w:rPr>
                <w:rFonts w:cs="Calibri"/>
                <w:b/>
                <w:color w:val="000000"/>
                <w:sz w:val="23"/>
                <w:szCs w:val="23"/>
              </w:rPr>
              <w:t>61%</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cs="Calibri"/>
                <w:b/>
                <w:color w:val="000000"/>
              </w:rPr>
            </w:pPr>
            <w:r w:rsidRPr="00D1550C">
              <w:rPr>
                <w:rFonts w:cs="Calibri"/>
                <w:b/>
                <w:color w:val="000000"/>
              </w:rPr>
              <w:t>627,9</w:t>
            </w:r>
          </w:p>
        </w:tc>
      </w:tr>
      <w:tr w:rsidR="00452F66" w:rsidRPr="00D1550C" w:rsidTr="007A7115">
        <w:trPr>
          <w:trHeight w:val="300"/>
          <w:jc w:val="center"/>
        </w:trPr>
        <w:tc>
          <w:tcPr>
            <w:tcW w:w="2700" w:type="dxa"/>
            <w:shd w:val="clear" w:color="auto" w:fill="auto"/>
            <w:noWrap/>
            <w:vAlign w:val="center"/>
          </w:tcPr>
          <w:p w:rsidR="00452F66" w:rsidRPr="00D1550C" w:rsidRDefault="00452F66" w:rsidP="00A863A4">
            <w:pPr>
              <w:ind w:left="179"/>
              <w:rPr>
                <w:rFonts w:cs="Calibri"/>
                <w:i/>
                <w:color w:val="000000"/>
              </w:rPr>
            </w:pPr>
            <w:r w:rsidRPr="00D1550C">
              <w:rPr>
                <w:rFonts w:cs="Calibri"/>
                <w:i/>
                <w:color w:val="000000"/>
              </w:rPr>
              <w:t>of which:</w:t>
            </w:r>
          </w:p>
          <w:p w:rsidR="00452F66" w:rsidRPr="00D1550C" w:rsidRDefault="00452F66" w:rsidP="00A863A4">
            <w:pPr>
              <w:rPr>
                <w:rFonts w:cs="Calibri"/>
                <w:i/>
                <w:color w:val="000000"/>
              </w:rPr>
            </w:pPr>
            <w:r w:rsidRPr="00D1550C">
              <w:rPr>
                <w:rFonts w:cs="Calibri"/>
                <w:i/>
                <w:color w:val="000000"/>
              </w:rPr>
              <w:t xml:space="preserve">international bonds of the Republic of Uzbekistan </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i/>
                <w:color w:val="000000"/>
              </w:rPr>
            </w:pPr>
            <w:r w:rsidRPr="00D1550C">
              <w:rPr>
                <w:rFonts w:cs="Calibri"/>
                <w:i/>
                <w:color w:val="000000"/>
              </w:rPr>
              <w:t>1 107,0</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cs="Calibri"/>
                <w:i/>
                <w:color w:val="000000"/>
              </w:rPr>
            </w:pPr>
            <w:r w:rsidRPr="00D1550C">
              <w:rPr>
                <w:rFonts w:cs="Calibri"/>
                <w:i/>
                <w:color w:val="000000"/>
              </w:rPr>
              <w:t>1 929,4</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asciiTheme="minorHAnsi" w:hAnsiTheme="minorHAnsi" w:cstheme="minorHAnsi"/>
                <w:i/>
                <w:color w:val="000000"/>
              </w:rPr>
            </w:pPr>
            <w:r w:rsidRPr="00D1550C">
              <w:rPr>
                <w:rFonts w:asciiTheme="minorHAnsi" w:hAnsiTheme="minorHAnsi" w:cstheme="minorHAnsi"/>
                <w:i/>
                <w:color w:val="000000"/>
              </w:rPr>
              <w:t>1 861,2</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i/>
                <w:color w:val="000000"/>
                <w:sz w:val="23"/>
                <w:szCs w:val="23"/>
              </w:rPr>
            </w:pPr>
            <w:r w:rsidRPr="00D1550C">
              <w:rPr>
                <w:rFonts w:asciiTheme="minorHAnsi" w:hAnsiTheme="minorHAnsi" w:cstheme="minorHAnsi"/>
                <w:i/>
                <w:color w:val="000000"/>
                <w:sz w:val="23"/>
                <w:szCs w:val="23"/>
              </w:rPr>
              <w:t>8%</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i/>
                <w:color w:val="000000"/>
              </w:rPr>
            </w:pPr>
            <w:r w:rsidRPr="00D1550C">
              <w:rPr>
                <w:rFonts w:asciiTheme="minorHAnsi" w:hAnsiTheme="minorHAnsi" w:cstheme="minorHAnsi"/>
                <w:i/>
                <w:color w:val="000000"/>
              </w:rPr>
              <w:t>-68,2</w:t>
            </w:r>
          </w:p>
        </w:tc>
      </w:tr>
      <w:tr w:rsidR="00452F66" w:rsidRPr="00D1550C" w:rsidTr="00A863A4">
        <w:trPr>
          <w:trHeight w:val="321"/>
          <w:jc w:val="center"/>
        </w:trPr>
        <w:tc>
          <w:tcPr>
            <w:tcW w:w="2700" w:type="dxa"/>
            <w:shd w:val="clear" w:color="auto" w:fill="auto"/>
            <w:noWrap/>
            <w:vAlign w:val="center"/>
          </w:tcPr>
          <w:p w:rsidR="00452F66" w:rsidRPr="00D1550C" w:rsidRDefault="00452F66" w:rsidP="00A863A4">
            <w:pPr>
              <w:rPr>
                <w:rFonts w:cs="Calibri"/>
                <w:b/>
                <w:color w:val="000000"/>
              </w:rPr>
            </w:pPr>
            <w:r w:rsidRPr="00D1550C">
              <w:rPr>
                <w:rFonts w:cs="Calibri"/>
                <w:b/>
                <w:color w:val="000000"/>
              </w:rPr>
              <w:t>Private external debt</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cs="Calibri"/>
                <w:b/>
                <w:color w:val="000000"/>
              </w:rPr>
              <w:t>8 762,4</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cs="Calibri"/>
                <w:b/>
                <w:color w:val="000000"/>
              </w:rPr>
            </w:pPr>
            <w:r w:rsidRPr="00D1550C">
              <w:rPr>
                <w:rFonts w:cs="Calibri"/>
                <w:b/>
                <w:color w:val="000000"/>
              </w:rPr>
              <w:t>12 487,4</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cs="Calibri"/>
                <w:b/>
                <w:color w:val="000000"/>
              </w:rPr>
            </w:pPr>
            <w:r w:rsidRPr="00D1550C">
              <w:rPr>
                <w:rFonts w:cs="Calibri"/>
                <w:b/>
                <w:color w:val="000000"/>
              </w:rPr>
              <w:t>13 909,0</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cs="Calibri"/>
                <w:b/>
                <w:color w:val="000000"/>
                <w:sz w:val="23"/>
                <w:szCs w:val="23"/>
              </w:rPr>
            </w:pPr>
            <w:r w:rsidRPr="00D1550C">
              <w:rPr>
                <w:rFonts w:cs="Calibri"/>
                <w:b/>
                <w:color w:val="000000"/>
                <w:sz w:val="23"/>
                <w:szCs w:val="23"/>
              </w:rPr>
              <w:t>39%</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cs="Calibri"/>
                <w:b/>
                <w:color w:val="000000"/>
              </w:rPr>
            </w:pPr>
            <w:r w:rsidRPr="00D1550C">
              <w:rPr>
                <w:rFonts w:cs="Calibri"/>
                <w:b/>
                <w:color w:val="000000"/>
              </w:rPr>
              <w:t>1 421,6</w:t>
            </w:r>
          </w:p>
        </w:tc>
      </w:tr>
      <w:tr w:rsidR="00452F66" w:rsidRPr="00D1550C" w:rsidTr="007A7115">
        <w:trPr>
          <w:trHeight w:val="300"/>
          <w:jc w:val="center"/>
        </w:trPr>
        <w:tc>
          <w:tcPr>
            <w:tcW w:w="2700" w:type="dxa"/>
            <w:shd w:val="clear" w:color="auto" w:fill="auto"/>
            <w:noWrap/>
            <w:vAlign w:val="center"/>
          </w:tcPr>
          <w:p w:rsidR="00452F66" w:rsidRPr="00D1550C" w:rsidRDefault="00452F66" w:rsidP="00A863A4">
            <w:pPr>
              <w:ind w:left="179"/>
              <w:rPr>
                <w:rFonts w:cs="Calibri"/>
                <w:i/>
                <w:color w:val="000000"/>
              </w:rPr>
            </w:pPr>
            <w:r w:rsidRPr="00D1550C">
              <w:rPr>
                <w:rFonts w:cs="Calibri"/>
                <w:i/>
                <w:color w:val="000000"/>
              </w:rPr>
              <w:t>of which:</w:t>
            </w:r>
          </w:p>
          <w:p w:rsidR="00452F66" w:rsidRPr="00D1550C" w:rsidRDefault="00452F66" w:rsidP="00A863A4">
            <w:pPr>
              <w:ind w:left="184" w:hanging="142"/>
              <w:rPr>
                <w:rFonts w:cs="Calibri"/>
                <w:i/>
                <w:color w:val="000000"/>
              </w:rPr>
            </w:pPr>
            <w:r w:rsidRPr="00D1550C">
              <w:rPr>
                <w:rFonts w:cs="Calibri"/>
                <w:i/>
                <w:color w:val="000000"/>
              </w:rPr>
              <w:t>from parent companies</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i/>
                <w:color w:val="000000"/>
              </w:rPr>
            </w:pPr>
            <w:r w:rsidRPr="00D1550C">
              <w:rPr>
                <w:rFonts w:cs="Calibri"/>
                <w:i/>
                <w:color w:val="000000"/>
              </w:rPr>
              <w:t>825,8</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cs="Calibri"/>
                <w:i/>
                <w:color w:val="000000"/>
              </w:rPr>
            </w:pPr>
            <w:r w:rsidRPr="00D1550C">
              <w:rPr>
                <w:rFonts w:cs="Calibri"/>
                <w:i/>
                <w:color w:val="000000"/>
              </w:rPr>
              <w:t>914,6</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asciiTheme="minorHAnsi" w:hAnsiTheme="minorHAnsi" w:cstheme="minorHAnsi"/>
                <w:i/>
                <w:color w:val="000000"/>
              </w:rPr>
            </w:pPr>
            <w:r w:rsidRPr="00D1550C">
              <w:rPr>
                <w:rFonts w:asciiTheme="minorHAnsi" w:hAnsiTheme="minorHAnsi" w:cstheme="minorHAnsi"/>
                <w:i/>
                <w:color w:val="000000"/>
              </w:rPr>
              <w:t>1 085,4</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i/>
                <w:color w:val="000000"/>
                <w:sz w:val="23"/>
                <w:szCs w:val="23"/>
              </w:rPr>
            </w:pPr>
            <w:r w:rsidRPr="00D1550C">
              <w:rPr>
                <w:rFonts w:asciiTheme="minorHAnsi" w:hAnsiTheme="minorHAnsi" w:cstheme="minorHAnsi"/>
                <w:i/>
                <w:color w:val="000000"/>
                <w:sz w:val="23"/>
                <w:szCs w:val="23"/>
              </w:rPr>
              <w:t>8%</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i/>
                <w:color w:val="000000"/>
              </w:rPr>
            </w:pPr>
            <w:r w:rsidRPr="00D1550C">
              <w:rPr>
                <w:rFonts w:asciiTheme="minorHAnsi" w:hAnsiTheme="minorHAnsi" w:cstheme="minorHAnsi"/>
                <w:i/>
                <w:color w:val="000000"/>
              </w:rPr>
              <w:t>170,9</w:t>
            </w:r>
          </w:p>
        </w:tc>
      </w:tr>
      <w:tr w:rsidR="005D2E39" w:rsidRPr="00D1550C" w:rsidTr="007A7115">
        <w:trPr>
          <w:trHeight w:val="349"/>
          <w:jc w:val="center"/>
        </w:trPr>
        <w:tc>
          <w:tcPr>
            <w:tcW w:w="9936" w:type="dxa"/>
            <w:gridSpan w:val="6"/>
            <w:shd w:val="clear" w:color="auto" w:fill="BDD6EE" w:themeFill="accent1" w:themeFillTint="66"/>
            <w:noWrap/>
            <w:vAlign w:val="center"/>
          </w:tcPr>
          <w:p w:rsidR="005D2E39" w:rsidRPr="00D1550C" w:rsidRDefault="00C1736C" w:rsidP="00A863A4">
            <w:pPr>
              <w:rPr>
                <w:rFonts w:cs="Calibri"/>
                <w:b/>
                <w:iCs/>
                <w:color w:val="000000"/>
              </w:rPr>
            </w:pPr>
            <w:r w:rsidRPr="00D1550C">
              <w:rPr>
                <w:rFonts w:cs="Calibri"/>
                <w:b/>
                <w:color w:val="000000"/>
              </w:rPr>
              <w:t>Shares of sectors in private foreign debt</w:t>
            </w:r>
          </w:p>
        </w:tc>
      </w:tr>
      <w:tr w:rsidR="00452F66" w:rsidRPr="00D1550C" w:rsidTr="001454A3">
        <w:trPr>
          <w:trHeight w:val="643"/>
          <w:jc w:val="center"/>
        </w:trPr>
        <w:tc>
          <w:tcPr>
            <w:tcW w:w="2700" w:type="dxa"/>
            <w:shd w:val="clear" w:color="auto" w:fill="auto"/>
            <w:noWrap/>
            <w:vAlign w:val="center"/>
          </w:tcPr>
          <w:p w:rsidR="00452F66" w:rsidRPr="00D1550C" w:rsidRDefault="00452F66" w:rsidP="00A863A4">
            <w:pPr>
              <w:rPr>
                <w:rFonts w:cs="Calibri"/>
                <w:color w:val="000000"/>
              </w:rPr>
            </w:pPr>
            <w:r w:rsidRPr="00D1550C">
              <w:rPr>
                <w:rFonts w:cs="Calibri"/>
                <w:color w:val="000000"/>
              </w:rPr>
              <w:t>Banking sector</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cs="Calibri"/>
                <w:color w:val="000000"/>
              </w:rPr>
              <w:t>2 920,2</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52F66" w:rsidRPr="00D1550C" w:rsidRDefault="00452F66" w:rsidP="00A863A4">
            <w:pPr>
              <w:jc w:val="center"/>
              <w:rPr>
                <w:rFonts w:cs="Calibri"/>
                <w:color w:val="000000"/>
              </w:rPr>
            </w:pPr>
            <w:r w:rsidRPr="00D1550C">
              <w:rPr>
                <w:rFonts w:cs="Calibri"/>
                <w:color w:val="000000"/>
              </w:rPr>
              <w:t>6 277,9</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asciiTheme="minorHAnsi" w:hAnsiTheme="minorHAnsi" w:cstheme="minorHAnsi"/>
                <w:i/>
                <w:color w:val="000000"/>
              </w:rPr>
            </w:pPr>
            <w:r w:rsidRPr="00D1550C">
              <w:rPr>
                <w:rFonts w:asciiTheme="minorHAnsi" w:hAnsiTheme="minorHAnsi" w:cstheme="minorHAnsi"/>
                <w:i/>
                <w:color w:val="000000"/>
              </w:rPr>
              <w:t>6 983,9</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sz w:val="23"/>
                <w:szCs w:val="23"/>
              </w:rPr>
            </w:pPr>
            <w:r w:rsidRPr="00D1550C">
              <w:rPr>
                <w:rFonts w:asciiTheme="minorHAnsi" w:hAnsiTheme="minorHAnsi" w:cstheme="minorHAnsi"/>
                <w:color w:val="000000"/>
                <w:sz w:val="23"/>
                <w:szCs w:val="23"/>
              </w:rPr>
              <w:t>50%</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asciiTheme="minorHAnsi" w:hAnsiTheme="minorHAnsi" w:cstheme="minorHAnsi"/>
                <w:color w:val="000000"/>
              </w:rPr>
              <w:t>706,0</w:t>
            </w:r>
          </w:p>
        </w:tc>
      </w:tr>
      <w:tr w:rsidR="00452F66" w:rsidRPr="00D1550C" w:rsidTr="001454A3">
        <w:trPr>
          <w:trHeight w:val="978"/>
          <w:jc w:val="center"/>
        </w:trPr>
        <w:tc>
          <w:tcPr>
            <w:tcW w:w="2700" w:type="dxa"/>
            <w:shd w:val="clear" w:color="auto" w:fill="auto"/>
            <w:noWrap/>
            <w:vAlign w:val="center"/>
          </w:tcPr>
          <w:p w:rsidR="00452F66" w:rsidRPr="00D1550C" w:rsidRDefault="00452F66" w:rsidP="00A863A4">
            <w:pPr>
              <w:ind w:left="179"/>
              <w:rPr>
                <w:rFonts w:cs="Calibri"/>
                <w:i/>
                <w:color w:val="000000"/>
              </w:rPr>
            </w:pPr>
            <w:r w:rsidRPr="00D1550C">
              <w:rPr>
                <w:rFonts w:cs="Calibri"/>
                <w:i/>
                <w:color w:val="000000"/>
              </w:rPr>
              <w:t>of which:</w:t>
            </w:r>
          </w:p>
          <w:p w:rsidR="00452F66" w:rsidRPr="00D1550C" w:rsidRDefault="00452F66" w:rsidP="00A863A4">
            <w:pPr>
              <w:rPr>
                <w:rFonts w:cs="Calibri"/>
                <w:color w:val="000000"/>
              </w:rPr>
            </w:pPr>
            <w:r w:rsidRPr="00D1550C">
              <w:rPr>
                <w:rFonts w:cs="Calibri"/>
                <w:i/>
                <w:color w:val="000000"/>
              </w:rPr>
              <w:t>international bonds of commercial banks</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i/>
                <w:color w:val="000000"/>
              </w:rPr>
            </w:pPr>
            <w:r w:rsidRPr="00D1550C">
              <w:rPr>
                <w:rFonts w:cs="Calibri"/>
                <w:i/>
                <w:color w:val="000000"/>
              </w:rPr>
              <w:t>307,4</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52F66" w:rsidRPr="00D1550C" w:rsidRDefault="00452F66" w:rsidP="00A863A4">
            <w:pPr>
              <w:jc w:val="center"/>
              <w:rPr>
                <w:rFonts w:cs="Calibri"/>
                <w:i/>
                <w:color w:val="000000"/>
              </w:rPr>
            </w:pPr>
            <w:r w:rsidRPr="00D1550C">
              <w:rPr>
                <w:rFonts w:cs="Calibri"/>
                <w:i/>
                <w:color w:val="000000"/>
              </w:rPr>
              <w:t>937,5</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asciiTheme="minorHAnsi" w:hAnsiTheme="minorHAnsi" w:cstheme="minorHAnsi"/>
                <w:i/>
                <w:color w:val="000000"/>
              </w:rPr>
            </w:pPr>
            <w:r w:rsidRPr="00D1550C">
              <w:rPr>
                <w:rFonts w:asciiTheme="minorHAnsi" w:hAnsiTheme="minorHAnsi" w:cstheme="minorHAnsi"/>
                <w:i/>
                <w:color w:val="000000"/>
              </w:rPr>
              <w:t>1 034,0</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i/>
                <w:color w:val="000000"/>
                <w:sz w:val="23"/>
                <w:szCs w:val="23"/>
              </w:rPr>
            </w:pPr>
            <w:r w:rsidRPr="00D1550C">
              <w:rPr>
                <w:rFonts w:asciiTheme="minorHAnsi" w:hAnsiTheme="minorHAnsi" w:cstheme="minorHAnsi"/>
                <w:i/>
                <w:color w:val="000000"/>
                <w:sz w:val="23"/>
                <w:szCs w:val="23"/>
              </w:rPr>
              <w:t>15%</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i/>
                <w:color w:val="000000"/>
              </w:rPr>
            </w:pPr>
            <w:r w:rsidRPr="00D1550C">
              <w:rPr>
                <w:rFonts w:asciiTheme="minorHAnsi" w:hAnsiTheme="minorHAnsi" w:cstheme="minorHAnsi"/>
                <w:i/>
                <w:color w:val="000000"/>
              </w:rPr>
              <w:t>96,5</w:t>
            </w:r>
          </w:p>
        </w:tc>
      </w:tr>
      <w:tr w:rsidR="00452F66" w:rsidRPr="00D1550C" w:rsidTr="007A7115">
        <w:trPr>
          <w:trHeight w:val="300"/>
          <w:jc w:val="center"/>
        </w:trPr>
        <w:tc>
          <w:tcPr>
            <w:tcW w:w="2700" w:type="dxa"/>
            <w:shd w:val="clear" w:color="auto" w:fill="auto"/>
            <w:noWrap/>
            <w:vAlign w:val="center"/>
          </w:tcPr>
          <w:p w:rsidR="00452F66" w:rsidRPr="00D1550C" w:rsidRDefault="00452F66" w:rsidP="00A863A4">
            <w:pPr>
              <w:rPr>
                <w:rFonts w:cs="Calibri"/>
                <w:color w:val="000000"/>
              </w:rPr>
            </w:pPr>
            <w:r w:rsidRPr="00D1550C">
              <w:rPr>
                <w:rFonts w:cs="Calibri"/>
                <w:color w:val="000000"/>
              </w:rPr>
              <w:t>Oil and gas and energy sector</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cs="Calibri"/>
                <w:color w:val="000000"/>
              </w:rPr>
              <w:t>4 852,3</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52F66" w:rsidRPr="00D1550C" w:rsidRDefault="00452F66" w:rsidP="00A863A4">
            <w:pPr>
              <w:jc w:val="center"/>
              <w:rPr>
                <w:rFonts w:cs="Calibri"/>
                <w:color w:val="000000"/>
              </w:rPr>
            </w:pPr>
            <w:r w:rsidRPr="00D1550C">
              <w:rPr>
                <w:rFonts w:cs="Calibri"/>
                <w:color w:val="000000"/>
              </w:rPr>
              <w:t>4 433,1</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asciiTheme="minorHAnsi" w:hAnsiTheme="minorHAnsi" w:cstheme="minorHAnsi"/>
                <w:i/>
                <w:color w:val="000000"/>
              </w:rPr>
            </w:pPr>
            <w:r w:rsidRPr="00D1550C">
              <w:rPr>
                <w:rFonts w:asciiTheme="minorHAnsi" w:hAnsiTheme="minorHAnsi" w:cstheme="minorHAnsi"/>
                <w:i/>
                <w:color w:val="000000"/>
              </w:rPr>
              <w:t>4 216,3</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sz w:val="23"/>
                <w:szCs w:val="23"/>
              </w:rPr>
            </w:pPr>
            <w:r w:rsidRPr="00D1550C">
              <w:rPr>
                <w:rFonts w:asciiTheme="minorHAnsi" w:hAnsiTheme="minorHAnsi" w:cstheme="minorHAnsi"/>
                <w:color w:val="000000"/>
                <w:sz w:val="23"/>
                <w:szCs w:val="23"/>
              </w:rPr>
              <w:t>30%</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asciiTheme="minorHAnsi" w:hAnsiTheme="minorHAnsi" w:cstheme="minorHAnsi"/>
                <w:color w:val="000000"/>
              </w:rPr>
              <w:t>-216,8</w:t>
            </w:r>
          </w:p>
        </w:tc>
      </w:tr>
      <w:tr w:rsidR="00452F66" w:rsidRPr="00D1550C" w:rsidTr="001454A3">
        <w:trPr>
          <w:trHeight w:val="775"/>
          <w:jc w:val="center"/>
        </w:trPr>
        <w:tc>
          <w:tcPr>
            <w:tcW w:w="2700" w:type="dxa"/>
            <w:shd w:val="clear" w:color="auto" w:fill="auto"/>
            <w:noWrap/>
            <w:vAlign w:val="center"/>
          </w:tcPr>
          <w:p w:rsidR="00452F66" w:rsidRPr="00D1550C" w:rsidRDefault="00452F66" w:rsidP="00A863A4">
            <w:pPr>
              <w:rPr>
                <w:rFonts w:cs="Calibri"/>
                <w:color w:val="000000"/>
              </w:rPr>
            </w:pPr>
            <w:r w:rsidRPr="00D1550C">
              <w:rPr>
                <w:rFonts w:cs="Calibri"/>
                <w:color w:val="000000"/>
              </w:rPr>
              <w:t>Telecommunications sector</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cs="Calibri"/>
                <w:color w:val="000000"/>
              </w:rPr>
              <w:t>225,5</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52F66" w:rsidRPr="00D1550C" w:rsidRDefault="00452F66" w:rsidP="00A863A4">
            <w:pPr>
              <w:jc w:val="center"/>
              <w:rPr>
                <w:rFonts w:cs="Calibri"/>
                <w:color w:val="000000"/>
              </w:rPr>
            </w:pPr>
            <w:r w:rsidRPr="00D1550C">
              <w:rPr>
                <w:rFonts w:cs="Calibri"/>
                <w:color w:val="000000"/>
              </w:rPr>
              <w:t>193,6</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asciiTheme="minorHAnsi" w:hAnsiTheme="minorHAnsi" w:cstheme="minorHAnsi"/>
                <w:color w:val="000000"/>
              </w:rPr>
            </w:pPr>
            <w:r w:rsidRPr="00D1550C">
              <w:rPr>
                <w:rFonts w:asciiTheme="minorHAnsi" w:hAnsiTheme="minorHAnsi" w:cstheme="minorHAnsi"/>
                <w:color w:val="000000"/>
              </w:rPr>
              <w:t>179,3</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sz w:val="23"/>
                <w:szCs w:val="23"/>
              </w:rPr>
            </w:pPr>
            <w:r w:rsidRPr="00D1550C">
              <w:rPr>
                <w:rFonts w:asciiTheme="minorHAnsi" w:hAnsiTheme="minorHAnsi" w:cstheme="minorHAnsi"/>
                <w:color w:val="000000"/>
                <w:sz w:val="23"/>
                <w:szCs w:val="23"/>
              </w:rPr>
              <w:t>1%</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asciiTheme="minorHAnsi" w:hAnsiTheme="minorHAnsi" w:cstheme="minorHAnsi"/>
                <w:color w:val="000000"/>
              </w:rPr>
              <w:t>-14,2</w:t>
            </w:r>
          </w:p>
        </w:tc>
      </w:tr>
      <w:tr w:rsidR="00452F66" w:rsidRPr="00D1550C" w:rsidTr="001454A3">
        <w:trPr>
          <w:trHeight w:val="644"/>
          <w:jc w:val="center"/>
        </w:trPr>
        <w:tc>
          <w:tcPr>
            <w:tcW w:w="2700" w:type="dxa"/>
            <w:shd w:val="clear" w:color="auto" w:fill="auto"/>
            <w:noWrap/>
            <w:vAlign w:val="center"/>
          </w:tcPr>
          <w:p w:rsidR="00452F66" w:rsidRPr="00D1550C" w:rsidRDefault="00452F66" w:rsidP="00A863A4">
            <w:pPr>
              <w:rPr>
                <w:rFonts w:cs="Calibri"/>
                <w:color w:val="000000"/>
              </w:rPr>
            </w:pPr>
            <w:r w:rsidRPr="00D1550C">
              <w:rPr>
                <w:rFonts w:cs="Calibri"/>
                <w:color w:val="000000"/>
              </w:rPr>
              <w:t>Textile sector</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cs="Calibri"/>
                <w:color w:val="000000"/>
              </w:rPr>
              <w:t>162,7</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52F66" w:rsidRPr="00D1550C" w:rsidRDefault="00452F66" w:rsidP="00A863A4">
            <w:pPr>
              <w:jc w:val="center"/>
              <w:rPr>
                <w:rFonts w:cs="Calibri"/>
                <w:color w:val="000000"/>
              </w:rPr>
            </w:pPr>
            <w:r w:rsidRPr="00D1550C">
              <w:rPr>
                <w:rFonts w:cs="Calibri"/>
                <w:color w:val="000000"/>
              </w:rPr>
              <w:t>253,5</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asciiTheme="minorHAnsi" w:hAnsiTheme="minorHAnsi" w:cstheme="minorHAnsi"/>
                <w:color w:val="000000"/>
              </w:rPr>
            </w:pPr>
            <w:r w:rsidRPr="00D1550C">
              <w:rPr>
                <w:rFonts w:asciiTheme="minorHAnsi" w:hAnsiTheme="minorHAnsi" w:cstheme="minorHAnsi"/>
                <w:color w:val="000000"/>
              </w:rPr>
              <w:t>265,5</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sz w:val="23"/>
                <w:szCs w:val="23"/>
              </w:rPr>
            </w:pPr>
            <w:r w:rsidRPr="00D1550C">
              <w:rPr>
                <w:rFonts w:asciiTheme="minorHAnsi" w:hAnsiTheme="minorHAnsi" w:cstheme="minorHAnsi"/>
                <w:color w:val="000000"/>
                <w:sz w:val="23"/>
                <w:szCs w:val="23"/>
              </w:rPr>
              <w:t>2%</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asciiTheme="minorHAnsi" w:hAnsiTheme="minorHAnsi" w:cstheme="minorHAnsi"/>
                <w:color w:val="000000"/>
              </w:rPr>
              <w:t>12,0</w:t>
            </w:r>
          </w:p>
        </w:tc>
      </w:tr>
      <w:tr w:rsidR="00452F66" w:rsidRPr="00D1550C" w:rsidTr="001454A3">
        <w:trPr>
          <w:trHeight w:val="667"/>
          <w:jc w:val="center"/>
        </w:trPr>
        <w:tc>
          <w:tcPr>
            <w:tcW w:w="2700" w:type="dxa"/>
            <w:shd w:val="clear" w:color="auto" w:fill="auto"/>
            <w:noWrap/>
            <w:vAlign w:val="center"/>
          </w:tcPr>
          <w:p w:rsidR="00452F66" w:rsidRPr="00D1550C" w:rsidRDefault="00452F66" w:rsidP="00A863A4">
            <w:pPr>
              <w:rPr>
                <w:rFonts w:cs="Calibri"/>
                <w:color w:val="000000"/>
              </w:rPr>
            </w:pPr>
            <w:r w:rsidRPr="00D1550C">
              <w:rPr>
                <w:rFonts w:cs="Calibri"/>
                <w:color w:val="000000"/>
              </w:rPr>
              <w:t>Other sectors</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cs="Calibri"/>
                <w:color w:val="000000"/>
              </w:rPr>
              <w:t>601,6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52F66" w:rsidRPr="00D1550C" w:rsidRDefault="00452F66" w:rsidP="00A863A4">
            <w:pPr>
              <w:jc w:val="center"/>
              <w:rPr>
                <w:rFonts w:cs="Calibri"/>
                <w:color w:val="000000"/>
              </w:rPr>
            </w:pPr>
            <w:r w:rsidRPr="00D1550C">
              <w:rPr>
                <w:rFonts w:cs="Calibri"/>
                <w:color w:val="000000"/>
              </w:rPr>
              <w:t>1 329,4</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452F66" w:rsidRPr="00D1550C" w:rsidRDefault="00452F66" w:rsidP="00A863A4">
            <w:pPr>
              <w:jc w:val="center"/>
              <w:rPr>
                <w:rFonts w:asciiTheme="minorHAnsi" w:hAnsiTheme="minorHAnsi" w:cstheme="minorHAnsi"/>
                <w:color w:val="000000"/>
              </w:rPr>
            </w:pPr>
            <w:r w:rsidRPr="00D1550C">
              <w:rPr>
                <w:rFonts w:asciiTheme="minorHAnsi" w:hAnsiTheme="minorHAnsi" w:cstheme="minorHAnsi"/>
                <w:color w:val="000000"/>
              </w:rPr>
              <w:t>2 264,0</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sz w:val="23"/>
                <w:szCs w:val="23"/>
              </w:rPr>
            </w:pPr>
            <w:r w:rsidRPr="00D1550C">
              <w:rPr>
                <w:rFonts w:asciiTheme="minorHAnsi" w:hAnsiTheme="minorHAnsi" w:cstheme="minorHAnsi"/>
                <w:color w:val="000000"/>
                <w:sz w:val="23"/>
                <w:szCs w:val="23"/>
              </w:rPr>
              <w:t>16%</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452F66" w:rsidRPr="00D1550C" w:rsidRDefault="00452F66" w:rsidP="00A863A4">
            <w:pPr>
              <w:jc w:val="center"/>
              <w:rPr>
                <w:rFonts w:asciiTheme="minorHAnsi" w:hAnsiTheme="minorHAnsi" w:cstheme="minorHAnsi"/>
                <w:color w:val="000000"/>
              </w:rPr>
            </w:pPr>
            <w:r w:rsidRPr="00D1550C">
              <w:rPr>
                <w:rFonts w:asciiTheme="minorHAnsi" w:hAnsiTheme="minorHAnsi" w:cstheme="minorHAnsi"/>
                <w:color w:val="000000"/>
              </w:rPr>
              <w:t>934,6</w:t>
            </w:r>
          </w:p>
        </w:tc>
      </w:tr>
    </w:tbl>
    <w:p w:rsidR="00BE2872" w:rsidRPr="00A863A4" w:rsidRDefault="005A0A29" w:rsidP="00A863A4">
      <w:pPr>
        <w:spacing w:before="240" w:after="120" w:line="288" w:lineRule="auto"/>
        <w:ind w:firstLine="709"/>
        <w:jc w:val="both"/>
        <w:rPr>
          <w:spacing w:val="-4"/>
          <w:sz w:val="26"/>
          <w:szCs w:val="26"/>
        </w:rPr>
      </w:pPr>
      <w:r w:rsidRPr="00A863A4">
        <w:rPr>
          <w:spacing w:val="-4"/>
          <w:sz w:val="26"/>
          <w:szCs w:val="26"/>
        </w:rPr>
        <w:t xml:space="preserve">In particular, in the 1st half of 2021 total external debt of the Republic of Uzbekistan increased by 3 percent or </w:t>
      </w:r>
      <w:r w:rsidR="00BC5B34" w:rsidRPr="00A863A4">
        <w:rPr>
          <w:spacing w:val="-4"/>
          <w:sz w:val="26"/>
          <w:szCs w:val="26"/>
        </w:rPr>
        <w:t xml:space="preserve">by </w:t>
      </w:r>
      <w:r w:rsidRPr="00A863A4">
        <w:rPr>
          <w:spacing w:val="-4"/>
          <w:sz w:val="26"/>
          <w:szCs w:val="26"/>
        </w:rPr>
        <w:t>USD 627</w:t>
      </w:r>
      <w:r w:rsidR="00B11C67" w:rsidRPr="00A863A4">
        <w:rPr>
          <w:spacing w:val="-4"/>
          <w:sz w:val="26"/>
          <w:szCs w:val="26"/>
        </w:rPr>
        <w:t>.</w:t>
      </w:r>
      <w:r w:rsidR="001454A3" w:rsidRPr="00A863A4">
        <w:rPr>
          <w:spacing w:val="-4"/>
          <w:sz w:val="26"/>
          <w:szCs w:val="26"/>
        </w:rPr>
        <w:t>9 million</w:t>
      </w:r>
      <w:r w:rsidR="006C78A6" w:rsidRPr="00A863A4">
        <w:rPr>
          <w:spacing w:val="-4"/>
          <w:sz w:val="26"/>
          <w:szCs w:val="26"/>
        </w:rPr>
        <w:t xml:space="preserve"> and accounted to USD 22.0 billion</w:t>
      </w:r>
      <w:r w:rsidR="001454A3" w:rsidRPr="00A863A4">
        <w:rPr>
          <w:spacing w:val="-4"/>
          <w:sz w:val="26"/>
          <w:szCs w:val="26"/>
        </w:rPr>
        <w:t>,</w:t>
      </w:r>
      <w:r w:rsidR="006C78A6" w:rsidRPr="00A863A4">
        <w:rPr>
          <w:spacing w:val="-4"/>
          <w:sz w:val="26"/>
          <w:szCs w:val="26"/>
        </w:rPr>
        <w:t xml:space="preserve"> due to</w:t>
      </w:r>
      <w:r w:rsidR="001454A3" w:rsidRPr="00A863A4">
        <w:rPr>
          <w:spacing w:val="-4"/>
          <w:sz w:val="26"/>
          <w:szCs w:val="26"/>
        </w:rPr>
        <w:t xml:space="preserve"> drop the</w:t>
      </w:r>
      <w:r w:rsidRPr="00A863A4">
        <w:rPr>
          <w:spacing w:val="-4"/>
          <w:sz w:val="26"/>
          <w:szCs w:val="26"/>
        </w:rPr>
        <w:t xml:space="preserve"> price of international bonds </w:t>
      </w:r>
      <w:r w:rsidR="001454A3" w:rsidRPr="00A863A4">
        <w:rPr>
          <w:spacing w:val="-4"/>
          <w:sz w:val="26"/>
          <w:szCs w:val="26"/>
        </w:rPr>
        <w:t>issued by Uzbekistan in international markets</w:t>
      </w:r>
      <w:r w:rsidR="006C78A6" w:rsidRPr="00A863A4">
        <w:rPr>
          <w:spacing w:val="-4"/>
          <w:sz w:val="26"/>
          <w:szCs w:val="26"/>
        </w:rPr>
        <w:t>,</w:t>
      </w:r>
      <w:r w:rsidRPr="00A863A4">
        <w:rPr>
          <w:spacing w:val="-4"/>
          <w:sz w:val="26"/>
          <w:szCs w:val="26"/>
        </w:rPr>
        <w:t xml:space="preserve"> attraction of new external borrowings</w:t>
      </w:r>
      <w:r w:rsidR="00BE2872" w:rsidRPr="00A863A4">
        <w:rPr>
          <w:spacing w:val="-4"/>
          <w:sz w:val="26"/>
          <w:szCs w:val="26"/>
        </w:rPr>
        <w:t xml:space="preserve"> as well as </w:t>
      </w:r>
      <w:r w:rsidR="001454A3" w:rsidRPr="00A863A4">
        <w:rPr>
          <w:spacing w:val="-4"/>
          <w:sz w:val="26"/>
          <w:szCs w:val="26"/>
        </w:rPr>
        <w:t>re</w:t>
      </w:r>
      <w:r w:rsidR="006C78A6" w:rsidRPr="00A863A4">
        <w:rPr>
          <w:spacing w:val="-4"/>
          <w:sz w:val="26"/>
          <w:szCs w:val="26"/>
        </w:rPr>
        <w:t xml:space="preserve">payments of principal debt and changes of exchange </w:t>
      </w:r>
      <w:r w:rsidR="00BC5B34" w:rsidRPr="00A863A4">
        <w:rPr>
          <w:spacing w:val="-4"/>
          <w:sz w:val="26"/>
          <w:szCs w:val="26"/>
        </w:rPr>
        <w:t>rates.</w:t>
      </w:r>
    </w:p>
    <w:p w:rsidR="00272BD3" w:rsidRPr="00D1550C" w:rsidRDefault="00272BD3" w:rsidP="006C78A6">
      <w:pPr>
        <w:spacing w:before="120" w:after="120" w:line="288" w:lineRule="auto"/>
        <w:ind w:firstLine="709"/>
        <w:jc w:val="both"/>
        <w:rPr>
          <w:sz w:val="26"/>
          <w:szCs w:val="26"/>
        </w:rPr>
      </w:pPr>
      <w:r w:rsidRPr="00D1550C">
        <w:rPr>
          <w:sz w:val="26"/>
          <w:szCs w:val="26"/>
        </w:rPr>
        <w:lastRenderedPageBreak/>
        <w:t>As of July 1 2021, the private external debt was increased by 11% or USD 1</w:t>
      </w:r>
      <w:r w:rsidR="00AC72AC" w:rsidRPr="00D1550C">
        <w:rPr>
          <w:sz w:val="26"/>
          <w:szCs w:val="26"/>
        </w:rPr>
        <w:t>.</w:t>
      </w:r>
      <w:r w:rsidRPr="00D1550C">
        <w:rPr>
          <w:sz w:val="26"/>
          <w:szCs w:val="26"/>
        </w:rPr>
        <w:t>4 bill</w:t>
      </w:r>
      <w:r w:rsidR="00AC72AC" w:rsidRPr="00D1550C">
        <w:rPr>
          <w:sz w:val="26"/>
          <w:szCs w:val="26"/>
        </w:rPr>
        <w:t>i</w:t>
      </w:r>
      <w:r w:rsidRPr="00D1550C">
        <w:rPr>
          <w:sz w:val="26"/>
          <w:szCs w:val="26"/>
        </w:rPr>
        <w:t xml:space="preserve">on, </w:t>
      </w:r>
      <w:r w:rsidR="00A863A4">
        <w:rPr>
          <w:sz w:val="26"/>
          <w:szCs w:val="26"/>
        </w:rPr>
        <w:br/>
      </w:r>
      <w:r w:rsidRPr="00D1550C">
        <w:rPr>
          <w:sz w:val="26"/>
          <w:szCs w:val="26"/>
        </w:rPr>
        <w:t xml:space="preserve">it was mainly </w:t>
      </w:r>
      <w:r w:rsidR="009B17AE" w:rsidRPr="00D1550C">
        <w:rPr>
          <w:sz w:val="26"/>
          <w:szCs w:val="26"/>
        </w:rPr>
        <w:t>attracted</w:t>
      </w:r>
      <w:r w:rsidRPr="00D1550C">
        <w:rPr>
          <w:sz w:val="26"/>
          <w:szCs w:val="26"/>
        </w:rPr>
        <w:t xml:space="preserve"> </w:t>
      </w:r>
      <w:r w:rsidR="006C78A6" w:rsidRPr="00D1550C">
        <w:rPr>
          <w:sz w:val="26"/>
          <w:szCs w:val="26"/>
        </w:rPr>
        <w:t>by</w:t>
      </w:r>
      <w:r w:rsidRPr="00D1550C">
        <w:rPr>
          <w:sz w:val="26"/>
          <w:szCs w:val="26"/>
        </w:rPr>
        <w:t xml:space="preserve"> </w:t>
      </w:r>
      <w:r w:rsidR="00BB2BC8" w:rsidRPr="00D1550C">
        <w:rPr>
          <w:sz w:val="26"/>
          <w:szCs w:val="26"/>
        </w:rPr>
        <w:t>banking and other sector</w:t>
      </w:r>
      <w:r w:rsidR="00A863A4">
        <w:rPr>
          <w:sz w:val="26"/>
          <w:szCs w:val="26"/>
        </w:rPr>
        <w:t>s</w:t>
      </w:r>
      <w:r w:rsidR="00BB2BC8" w:rsidRPr="00D1550C">
        <w:rPr>
          <w:sz w:val="26"/>
          <w:szCs w:val="26"/>
        </w:rPr>
        <w:t>.</w:t>
      </w:r>
    </w:p>
    <w:p w:rsidR="001760FA" w:rsidRPr="00D1550C" w:rsidRDefault="00767E24" w:rsidP="006B50A3">
      <w:pPr>
        <w:jc w:val="right"/>
      </w:pPr>
      <w:r w:rsidRPr="00D1550C">
        <w:t>Table</w:t>
      </w:r>
      <w:r w:rsidR="001760FA" w:rsidRPr="00D1550C">
        <w:t xml:space="preserve"> </w:t>
      </w:r>
      <w:r w:rsidR="00804478" w:rsidRPr="00D1550C">
        <w:t>4</w:t>
      </w:r>
    </w:p>
    <w:p w:rsidR="006B50A3" w:rsidRPr="00D1550C" w:rsidRDefault="006B50A3" w:rsidP="006B50A3">
      <w:pPr>
        <w:jc w:val="right"/>
        <w:rPr>
          <w:highlight w:val="yellow"/>
        </w:rPr>
      </w:pPr>
    </w:p>
    <w:p w:rsidR="00767E24" w:rsidRPr="00D1550C" w:rsidRDefault="00767E24" w:rsidP="00767E24">
      <w:pPr>
        <w:jc w:val="center"/>
        <w:rPr>
          <w:rFonts w:cs="Calibri"/>
          <w:b/>
          <w:sz w:val="28"/>
          <w:szCs w:val="26"/>
        </w:rPr>
      </w:pPr>
      <w:r w:rsidRPr="00D1550C">
        <w:rPr>
          <w:rFonts w:cs="Calibri"/>
          <w:b/>
          <w:sz w:val="28"/>
          <w:szCs w:val="26"/>
        </w:rPr>
        <w:t>THE STRUCTURE OF EXTERNAL DEBT ON THE BASIS OF MATURITY</w:t>
      </w:r>
      <w:r w:rsidRPr="00D1550C">
        <w:rPr>
          <w:rStyle w:val="a9"/>
          <w:rFonts w:cs="Calibri"/>
          <w:b/>
          <w:sz w:val="28"/>
          <w:szCs w:val="26"/>
        </w:rPr>
        <w:footnoteReference w:id="11"/>
      </w:r>
    </w:p>
    <w:p w:rsidR="00767E24" w:rsidRPr="00D1550C" w:rsidRDefault="00767E24" w:rsidP="00767E24">
      <w:pPr>
        <w:jc w:val="center"/>
        <w:rPr>
          <w:rFonts w:cs="Calibri"/>
          <w:i/>
        </w:rPr>
      </w:pPr>
      <w:r w:rsidRPr="00D1550C">
        <w:rPr>
          <w:rFonts w:cs="Calibri"/>
          <w:i/>
        </w:rPr>
        <w:t xml:space="preserve">(as of </w:t>
      </w:r>
      <w:r w:rsidR="009A7462" w:rsidRPr="00D1550C">
        <w:rPr>
          <w:rFonts w:cs="Calibri"/>
          <w:i/>
        </w:rPr>
        <w:t>July</w:t>
      </w:r>
      <w:r w:rsidRPr="00D1550C">
        <w:rPr>
          <w:rFonts w:cs="Calibri"/>
          <w:i/>
        </w:rPr>
        <w:t xml:space="preserve"> 1, 20</w:t>
      </w:r>
      <w:r w:rsidR="0083677F" w:rsidRPr="00D1550C">
        <w:rPr>
          <w:rFonts w:cs="Calibri"/>
          <w:i/>
        </w:rPr>
        <w:t>2</w:t>
      </w:r>
      <w:r w:rsidR="00A94B6B" w:rsidRPr="00D1550C">
        <w:rPr>
          <w:rFonts w:cs="Calibri"/>
          <w:i/>
        </w:rPr>
        <w:t>1</w:t>
      </w:r>
      <w:r w:rsidRPr="00D1550C">
        <w:rPr>
          <w:rFonts w:cs="Calibri"/>
          <w:i/>
        </w:rPr>
        <w:t>)</w:t>
      </w:r>
    </w:p>
    <w:p w:rsidR="001760FA" w:rsidRPr="00D1550C" w:rsidRDefault="001760FA" w:rsidP="001760FA">
      <w:pPr>
        <w:ind w:firstLine="709"/>
        <w:jc w:val="center"/>
        <w:rPr>
          <w:i/>
        </w:rPr>
      </w:pPr>
    </w:p>
    <w:tbl>
      <w:tblPr>
        <w:tblW w:w="992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07"/>
        <w:gridCol w:w="3256"/>
        <w:gridCol w:w="3260"/>
      </w:tblGrid>
      <w:tr w:rsidR="00767E24" w:rsidRPr="00D1550C" w:rsidTr="00F724F9">
        <w:trPr>
          <w:trHeight w:val="761"/>
          <w:jc w:val="center"/>
        </w:trPr>
        <w:tc>
          <w:tcPr>
            <w:tcW w:w="3407" w:type="dxa"/>
            <w:shd w:val="clear" w:color="auto" w:fill="BDD6EE" w:themeFill="accent1" w:themeFillTint="66"/>
            <w:vAlign w:val="center"/>
          </w:tcPr>
          <w:p w:rsidR="00767E24" w:rsidRPr="00D1550C" w:rsidRDefault="00767E24" w:rsidP="00767E24">
            <w:pPr>
              <w:ind w:left="604"/>
              <w:rPr>
                <w:rFonts w:cs="Calibri"/>
                <w:b/>
              </w:rPr>
            </w:pPr>
            <w:r w:rsidRPr="00D1550C">
              <w:rPr>
                <w:rFonts w:cs="Calibri"/>
                <w:b/>
              </w:rPr>
              <w:t>Maturity</w:t>
            </w:r>
          </w:p>
        </w:tc>
        <w:tc>
          <w:tcPr>
            <w:tcW w:w="3256" w:type="dxa"/>
            <w:shd w:val="clear" w:color="auto" w:fill="BDD6EE" w:themeFill="accent1" w:themeFillTint="66"/>
            <w:vAlign w:val="center"/>
          </w:tcPr>
          <w:p w:rsidR="00767E24" w:rsidRPr="00D1550C" w:rsidRDefault="00767E24" w:rsidP="00767E24">
            <w:pPr>
              <w:spacing w:after="40"/>
              <w:jc w:val="center"/>
              <w:rPr>
                <w:rFonts w:cs="Calibri"/>
                <w:b/>
              </w:rPr>
            </w:pPr>
            <w:r w:rsidRPr="00D1550C">
              <w:rPr>
                <w:rFonts w:cs="Calibri"/>
                <w:b/>
              </w:rPr>
              <w:t>Amount</w:t>
            </w:r>
            <w:r w:rsidR="00CF02A4" w:rsidRPr="00D1550C">
              <w:rPr>
                <w:rFonts w:cs="Calibri"/>
                <w:b/>
              </w:rPr>
              <w:t xml:space="preserve"> of</w:t>
            </w:r>
            <w:r w:rsidRPr="00D1550C">
              <w:rPr>
                <w:rFonts w:cs="Calibri"/>
                <w:b/>
              </w:rPr>
              <w:t xml:space="preserve"> debt</w:t>
            </w:r>
          </w:p>
          <w:p w:rsidR="00767E24" w:rsidRPr="00D1550C" w:rsidRDefault="00767E24" w:rsidP="00497BD9">
            <w:pPr>
              <w:spacing w:after="40"/>
              <w:jc w:val="center"/>
              <w:rPr>
                <w:rFonts w:cs="Calibri"/>
                <w:i/>
              </w:rPr>
            </w:pPr>
            <w:r w:rsidRPr="00D1550C">
              <w:rPr>
                <w:rFonts w:cs="Calibri"/>
                <w:i/>
              </w:rPr>
              <w:t>(</w:t>
            </w:r>
            <w:r w:rsidR="00497BD9" w:rsidRPr="00D1550C">
              <w:rPr>
                <w:rFonts w:cs="Calibri"/>
                <w:i/>
              </w:rPr>
              <w:t xml:space="preserve">mln. </w:t>
            </w:r>
            <w:r w:rsidRPr="00D1550C">
              <w:rPr>
                <w:rFonts w:cs="Calibri"/>
                <w:i/>
              </w:rPr>
              <w:t>USD)</w:t>
            </w:r>
          </w:p>
        </w:tc>
        <w:tc>
          <w:tcPr>
            <w:tcW w:w="3260" w:type="dxa"/>
            <w:shd w:val="clear" w:color="auto" w:fill="BDD6EE" w:themeFill="accent1" w:themeFillTint="66"/>
            <w:vAlign w:val="center"/>
          </w:tcPr>
          <w:p w:rsidR="00767E24" w:rsidRPr="00D1550C" w:rsidRDefault="00767E24" w:rsidP="00767E24">
            <w:pPr>
              <w:spacing w:after="40"/>
              <w:jc w:val="center"/>
              <w:rPr>
                <w:rFonts w:cs="Calibri"/>
                <w:b/>
                <w:i/>
              </w:rPr>
            </w:pPr>
            <w:r w:rsidRPr="00D1550C">
              <w:rPr>
                <w:rFonts w:cs="Calibri"/>
                <w:b/>
              </w:rPr>
              <w:t>Share</w:t>
            </w:r>
          </w:p>
          <w:p w:rsidR="00767E24" w:rsidRPr="00D1550C" w:rsidRDefault="00767E24" w:rsidP="00F761DA">
            <w:pPr>
              <w:spacing w:after="40"/>
              <w:jc w:val="center"/>
              <w:rPr>
                <w:rFonts w:cs="Calibri"/>
                <w:i/>
              </w:rPr>
            </w:pPr>
            <w:r w:rsidRPr="00D1550C">
              <w:rPr>
                <w:rFonts w:cs="Calibri"/>
                <w:i/>
              </w:rPr>
              <w:t>(in %)</w:t>
            </w:r>
          </w:p>
        </w:tc>
      </w:tr>
      <w:tr w:rsidR="00F74DBE" w:rsidRPr="00D1550C" w:rsidTr="00F724F9">
        <w:trPr>
          <w:trHeight w:val="495"/>
          <w:jc w:val="center"/>
        </w:trPr>
        <w:tc>
          <w:tcPr>
            <w:tcW w:w="3407" w:type="dxa"/>
            <w:shd w:val="clear" w:color="auto" w:fill="auto"/>
            <w:vAlign w:val="center"/>
          </w:tcPr>
          <w:p w:rsidR="00F74DBE" w:rsidRPr="00D1550C" w:rsidRDefault="00F74DBE" w:rsidP="00F74DBE">
            <w:pPr>
              <w:ind w:left="604"/>
              <w:rPr>
                <w:rFonts w:cs="Calibri"/>
              </w:rPr>
            </w:pPr>
            <w:r w:rsidRPr="00D1550C">
              <w:rPr>
                <w:rFonts w:cs="Calibri"/>
              </w:rPr>
              <w:t>up to 1 year</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color w:val="000000"/>
              </w:rPr>
            </w:pPr>
            <w:r w:rsidRPr="00D1550C">
              <w:rPr>
                <w:rFonts w:cs="Calibri"/>
                <w:color w:val="000000"/>
              </w:rPr>
              <w:t>1 488,7</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color w:val="000000"/>
              </w:rPr>
            </w:pPr>
            <w:r w:rsidRPr="00D1550C">
              <w:rPr>
                <w:rFonts w:cs="Calibri"/>
                <w:color w:val="000000"/>
              </w:rPr>
              <w:t>4,1%</w:t>
            </w:r>
          </w:p>
        </w:tc>
      </w:tr>
      <w:tr w:rsidR="00F74DBE" w:rsidRPr="00D1550C" w:rsidTr="00F724F9">
        <w:trPr>
          <w:trHeight w:val="495"/>
          <w:jc w:val="center"/>
        </w:trPr>
        <w:tc>
          <w:tcPr>
            <w:tcW w:w="3407" w:type="dxa"/>
            <w:shd w:val="clear" w:color="auto" w:fill="auto"/>
            <w:vAlign w:val="center"/>
          </w:tcPr>
          <w:p w:rsidR="00F74DBE" w:rsidRPr="00D1550C" w:rsidRDefault="00F74DBE" w:rsidP="00F74DBE">
            <w:pPr>
              <w:ind w:left="604"/>
              <w:rPr>
                <w:rFonts w:cs="Calibri"/>
              </w:rPr>
            </w:pPr>
            <w:r w:rsidRPr="00D1550C">
              <w:rPr>
                <w:rFonts w:cs="Calibri"/>
              </w:rPr>
              <w:t>from 1 to 5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color w:val="000000"/>
              </w:rPr>
            </w:pPr>
            <w:r w:rsidRPr="00D1550C">
              <w:rPr>
                <w:rFonts w:cs="Calibri"/>
                <w:color w:val="000000"/>
              </w:rPr>
              <w:t>7 421,4</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color w:val="000000"/>
              </w:rPr>
            </w:pPr>
            <w:r w:rsidRPr="00D1550C">
              <w:rPr>
                <w:rFonts w:cs="Calibri"/>
                <w:color w:val="000000"/>
              </w:rPr>
              <w:t>20,7%</w:t>
            </w:r>
          </w:p>
        </w:tc>
      </w:tr>
      <w:tr w:rsidR="00F74DBE" w:rsidRPr="00D1550C" w:rsidTr="00F724F9">
        <w:trPr>
          <w:trHeight w:val="495"/>
          <w:jc w:val="center"/>
        </w:trPr>
        <w:tc>
          <w:tcPr>
            <w:tcW w:w="3407" w:type="dxa"/>
            <w:shd w:val="clear" w:color="auto" w:fill="auto"/>
            <w:vAlign w:val="center"/>
          </w:tcPr>
          <w:p w:rsidR="00F74DBE" w:rsidRPr="00D1550C" w:rsidRDefault="00F74DBE" w:rsidP="00F74DBE">
            <w:pPr>
              <w:ind w:left="604"/>
              <w:rPr>
                <w:rFonts w:cs="Calibri"/>
              </w:rPr>
            </w:pPr>
            <w:r w:rsidRPr="00D1550C">
              <w:rPr>
                <w:rFonts w:cs="Calibri"/>
              </w:rPr>
              <w:t>from 5 to 10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color w:val="000000"/>
              </w:rPr>
            </w:pPr>
            <w:r w:rsidRPr="00D1550C">
              <w:rPr>
                <w:rFonts w:cs="Calibri"/>
                <w:color w:val="000000"/>
              </w:rPr>
              <w:t>3 601,5</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color w:val="000000"/>
              </w:rPr>
            </w:pPr>
            <w:r w:rsidRPr="00D1550C">
              <w:rPr>
                <w:rFonts w:cs="Calibri"/>
                <w:color w:val="000000"/>
              </w:rPr>
              <w:t>10,0%</w:t>
            </w:r>
          </w:p>
        </w:tc>
      </w:tr>
      <w:tr w:rsidR="00F74DBE" w:rsidRPr="00D1550C" w:rsidTr="00F724F9">
        <w:trPr>
          <w:trHeight w:val="495"/>
          <w:jc w:val="center"/>
        </w:trPr>
        <w:tc>
          <w:tcPr>
            <w:tcW w:w="3407" w:type="dxa"/>
            <w:shd w:val="clear" w:color="auto" w:fill="auto"/>
            <w:vAlign w:val="center"/>
          </w:tcPr>
          <w:p w:rsidR="00F74DBE" w:rsidRPr="00D1550C" w:rsidRDefault="00F74DBE" w:rsidP="00F74DBE">
            <w:pPr>
              <w:ind w:left="604"/>
              <w:rPr>
                <w:rFonts w:cs="Calibri"/>
              </w:rPr>
            </w:pPr>
            <w:r w:rsidRPr="00D1550C">
              <w:rPr>
                <w:rFonts w:cs="Calibri"/>
              </w:rPr>
              <w:t>more than 10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color w:val="000000"/>
              </w:rPr>
            </w:pPr>
            <w:r w:rsidRPr="00D1550C">
              <w:rPr>
                <w:rFonts w:cs="Calibri"/>
                <w:color w:val="000000"/>
              </w:rPr>
              <w:t>23 383,3</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color w:val="000000"/>
              </w:rPr>
            </w:pPr>
            <w:r w:rsidRPr="00D1550C">
              <w:rPr>
                <w:rFonts w:cs="Calibri"/>
                <w:color w:val="000000"/>
              </w:rPr>
              <w:t>65,1%</w:t>
            </w:r>
          </w:p>
        </w:tc>
      </w:tr>
      <w:tr w:rsidR="00F74DBE" w:rsidRPr="00D1550C" w:rsidTr="00F724F9">
        <w:trPr>
          <w:trHeight w:val="464"/>
          <w:jc w:val="center"/>
        </w:trPr>
        <w:tc>
          <w:tcPr>
            <w:tcW w:w="3407" w:type="dxa"/>
            <w:shd w:val="clear" w:color="auto" w:fill="auto"/>
            <w:vAlign w:val="center"/>
          </w:tcPr>
          <w:p w:rsidR="00F74DBE" w:rsidRPr="00D1550C" w:rsidRDefault="00F74DBE" w:rsidP="00F74DBE">
            <w:pPr>
              <w:ind w:left="600"/>
              <w:rPr>
                <w:b/>
              </w:rPr>
            </w:pPr>
            <w:r w:rsidRPr="00D1550C">
              <w:rPr>
                <w:rFonts w:cs="Calibri"/>
                <w:b/>
              </w:rPr>
              <w:t>Total:</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b/>
                <w:bCs/>
                <w:color w:val="000000"/>
              </w:rPr>
            </w:pPr>
            <w:r w:rsidRPr="00D1550C">
              <w:rPr>
                <w:rFonts w:cs="Calibri"/>
                <w:b/>
                <w:bCs/>
                <w:color w:val="000000"/>
              </w:rPr>
              <w:t>35 894,9</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74DBE" w:rsidRPr="00D1550C" w:rsidRDefault="00F74DBE" w:rsidP="00F74DBE">
            <w:pPr>
              <w:jc w:val="center"/>
              <w:rPr>
                <w:rFonts w:cs="Calibri"/>
                <w:b/>
                <w:bCs/>
                <w:color w:val="000000"/>
              </w:rPr>
            </w:pPr>
            <w:r w:rsidRPr="00D1550C">
              <w:rPr>
                <w:rFonts w:cs="Calibri"/>
                <w:b/>
                <w:bCs/>
                <w:color w:val="000000"/>
              </w:rPr>
              <w:t>100,0%</w:t>
            </w:r>
          </w:p>
        </w:tc>
      </w:tr>
    </w:tbl>
    <w:p w:rsidR="00A302C0" w:rsidRPr="00D1550C" w:rsidRDefault="00003E6F" w:rsidP="007A4683">
      <w:pPr>
        <w:spacing w:before="360" w:after="120" w:line="288" w:lineRule="auto"/>
        <w:ind w:firstLine="709"/>
        <w:jc w:val="both"/>
        <w:rPr>
          <w:rFonts w:cs="Calibri"/>
          <w:sz w:val="26"/>
          <w:szCs w:val="26"/>
        </w:rPr>
      </w:pPr>
      <w:r w:rsidRPr="00D1550C">
        <w:rPr>
          <w:noProof/>
          <w:lang w:val="ru-RU"/>
        </w:rPr>
        <w:drawing>
          <wp:anchor distT="0" distB="0" distL="114300" distR="114300" simplePos="0" relativeHeight="251715584" behindDoc="0" locked="0" layoutInCell="1" allowOverlap="1" wp14:anchorId="2741CA14" wp14:editId="21F216FE">
            <wp:simplePos x="0" y="0"/>
            <wp:positionH relativeFrom="column">
              <wp:posOffset>2517444</wp:posOffset>
            </wp:positionH>
            <wp:positionV relativeFrom="paragraph">
              <wp:posOffset>1909445</wp:posOffset>
            </wp:positionV>
            <wp:extent cx="3810000" cy="3321050"/>
            <wp:effectExtent l="0" t="0" r="0" b="0"/>
            <wp:wrapSquare wrapText="bothSides"/>
            <wp:docPr id="32" name="Диаграмма 32" title="ывыв">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7A4683" w:rsidRPr="00D1550C">
        <w:rPr>
          <w:rFonts w:cs="Calibri"/>
          <w:noProof/>
          <w:sz w:val="26"/>
          <w:szCs w:val="26"/>
          <w:lang w:val="ru-RU"/>
        </w:rPr>
        <mc:AlternateContent>
          <mc:Choice Requires="wps">
            <w:drawing>
              <wp:anchor distT="0" distB="0" distL="114300" distR="114300" simplePos="0" relativeHeight="251654144" behindDoc="0" locked="0" layoutInCell="1" allowOverlap="1" wp14:anchorId="5F68CAD0" wp14:editId="523984C6">
                <wp:simplePos x="0" y="0"/>
                <wp:positionH relativeFrom="margin">
                  <wp:posOffset>2509520</wp:posOffset>
                </wp:positionH>
                <wp:positionV relativeFrom="page">
                  <wp:posOffset>5584795</wp:posOffset>
                </wp:positionV>
                <wp:extent cx="3686175" cy="646430"/>
                <wp:effectExtent l="0" t="0" r="9525" b="1270"/>
                <wp:wrapSquare wrapText="bothSides"/>
                <wp:docPr id="3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64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1B09" w:rsidRPr="00A863A4" w:rsidRDefault="00461B09" w:rsidP="00147A87">
                            <w:pPr>
                              <w:pStyle w:val="aff8"/>
                              <w:spacing w:before="0" w:beforeAutospacing="0" w:after="0" w:afterAutospacing="0" w:line="360" w:lineRule="auto"/>
                              <w:ind w:firstLine="284"/>
                              <w:jc w:val="right"/>
                              <w:rPr>
                                <w:rFonts w:ascii="Calibri" w:hAnsi="Calibri" w:cs="Calibri"/>
                                <w:sz w:val="20"/>
                              </w:rPr>
                            </w:pPr>
                            <w:r w:rsidRPr="00A863A4">
                              <w:rPr>
                                <w:rFonts w:ascii="Calibri" w:hAnsi="Calibri" w:cs="Calibri"/>
                                <w:color w:val="000000"/>
                                <w:sz w:val="18"/>
                                <w:szCs w:val="22"/>
                              </w:rPr>
                              <w:t>Figure 21</w:t>
                            </w:r>
                          </w:p>
                          <w:p w:rsidR="00461B09" w:rsidRPr="00A863A4" w:rsidRDefault="00461B09" w:rsidP="00147A87">
                            <w:pPr>
                              <w:pStyle w:val="aff8"/>
                              <w:spacing w:before="0" w:beforeAutospacing="0" w:after="0" w:afterAutospacing="0" w:line="360" w:lineRule="auto"/>
                              <w:ind w:firstLine="284"/>
                              <w:jc w:val="center"/>
                              <w:rPr>
                                <w:rFonts w:ascii="Calibri" w:hAnsi="Calibri" w:cs="Calibri"/>
                                <w:b/>
                                <w:bCs/>
                                <w:color w:val="000000"/>
                                <w:sz w:val="20"/>
                                <w:szCs w:val="22"/>
                              </w:rPr>
                            </w:pPr>
                            <w:r w:rsidRPr="00A863A4">
                              <w:rPr>
                                <w:rFonts w:ascii="Calibri" w:hAnsi="Calibri" w:cs="Calibri"/>
                                <w:b/>
                                <w:bCs/>
                                <w:color w:val="000000"/>
                                <w:sz w:val="20"/>
                                <w:szCs w:val="22"/>
                              </w:rPr>
                              <w:t>Attraction of external debt by sectors of economy</w:t>
                            </w:r>
                          </w:p>
                          <w:p w:rsidR="00461B09" w:rsidRPr="00D12AC2" w:rsidRDefault="00461B09" w:rsidP="00147A87">
                            <w:pPr>
                              <w:pStyle w:val="aff8"/>
                              <w:spacing w:before="0" w:beforeAutospacing="0" w:after="0" w:afterAutospacing="0" w:line="360" w:lineRule="auto"/>
                              <w:ind w:firstLine="284"/>
                              <w:jc w:val="right"/>
                              <w:rPr>
                                <w:rFonts w:ascii="Calibri" w:hAnsi="Calibri" w:cs="Calibri"/>
                                <w:sz w:val="18"/>
                              </w:rPr>
                            </w:pPr>
                            <w:r w:rsidRPr="00A863A4">
                              <w:rPr>
                                <w:rFonts w:ascii="Calibri" w:hAnsi="Calibri" w:cs="Calibri"/>
                                <w:color w:val="000000"/>
                                <w:sz w:val="16"/>
                                <w:szCs w:val="22"/>
                              </w:rPr>
                              <w:t>(mln. USD)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8CAD0" id="_x0000_t202" coordsize="21600,21600" o:spt="202" path="m,l,21600r21600,l21600,xe">
                <v:stroke joinstyle="miter"/>
                <v:path gradientshapeok="t" o:connecttype="rect"/>
              </v:shapetype>
              <v:shape id="TextBox 6" o:spid="_x0000_s1030" type="#_x0000_t202" style="position:absolute;left:0;text-align:left;margin-left:197.6pt;margin-top:439.75pt;width:290.25pt;height:50.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" stroked="f">
                <v:textbox>
                  <w:txbxContent>
                    <w:p w:rsidR="00461B09" w:rsidRPr="00A863A4" w:rsidRDefault="00461B09" w:rsidP="00147A87">
                      <w:pPr>
                        <w:pStyle w:val="aff8"/>
                        <w:spacing w:before="0" w:beforeAutospacing="0" w:after="0" w:afterAutospacing="0" w:line="360" w:lineRule="auto"/>
                        <w:ind w:firstLine="284"/>
                        <w:jc w:val="right"/>
                        <w:rPr>
                          <w:rFonts w:ascii="Calibri" w:hAnsi="Calibri" w:cs="Calibri"/>
                          <w:sz w:val="20"/>
                        </w:rPr>
                      </w:pPr>
                      <w:r w:rsidRPr="00A863A4">
                        <w:rPr>
                          <w:rFonts w:ascii="Calibri" w:hAnsi="Calibri" w:cs="Calibri"/>
                          <w:color w:val="000000"/>
                          <w:sz w:val="18"/>
                          <w:szCs w:val="22"/>
                        </w:rPr>
                        <w:t>Figure 21</w:t>
                      </w:r>
                    </w:p>
                    <w:p w:rsidR="00461B09" w:rsidRPr="00A863A4" w:rsidRDefault="00461B09" w:rsidP="00147A87">
                      <w:pPr>
                        <w:pStyle w:val="aff8"/>
                        <w:spacing w:before="0" w:beforeAutospacing="0" w:after="0" w:afterAutospacing="0" w:line="360" w:lineRule="auto"/>
                        <w:ind w:firstLine="284"/>
                        <w:jc w:val="center"/>
                        <w:rPr>
                          <w:rFonts w:ascii="Calibri" w:hAnsi="Calibri" w:cs="Calibri"/>
                          <w:b/>
                          <w:bCs/>
                          <w:color w:val="000000"/>
                          <w:sz w:val="20"/>
                          <w:szCs w:val="22"/>
                        </w:rPr>
                      </w:pPr>
                      <w:r w:rsidRPr="00A863A4">
                        <w:rPr>
                          <w:rFonts w:ascii="Calibri" w:hAnsi="Calibri" w:cs="Calibri"/>
                          <w:b/>
                          <w:bCs/>
                          <w:color w:val="000000"/>
                          <w:sz w:val="20"/>
                          <w:szCs w:val="22"/>
                        </w:rPr>
                        <w:t>Attraction of external debt by sectors of economy</w:t>
                      </w:r>
                    </w:p>
                    <w:p w:rsidR="00461B09" w:rsidRPr="00D12AC2" w:rsidRDefault="00461B09" w:rsidP="00147A87">
                      <w:pPr>
                        <w:pStyle w:val="aff8"/>
                        <w:spacing w:before="0" w:beforeAutospacing="0" w:after="0" w:afterAutospacing="0" w:line="360" w:lineRule="auto"/>
                        <w:ind w:firstLine="284"/>
                        <w:jc w:val="right"/>
                        <w:rPr>
                          <w:rFonts w:ascii="Calibri" w:hAnsi="Calibri" w:cs="Calibri"/>
                          <w:sz w:val="18"/>
                        </w:rPr>
                      </w:pPr>
                      <w:r w:rsidRPr="00A863A4">
                        <w:rPr>
                          <w:rFonts w:ascii="Calibri" w:hAnsi="Calibri" w:cs="Calibri"/>
                          <w:color w:val="000000"/>
                          <w:sz w:val="16"/>
                          <w:szCs w:val="22"/>
                        </w:rPr>
                        <w:t>(</w:t>
                      </w:r>
                      <w:proofErr w:type="spellStart"/>
                      <w:r w:rsidRPr="00A863A4">
                        <w:rPr>
                          <w:rFonts w:ascii="Calibri" w:hAnsi="Calibri" w:cs="Calibri"/>
                          <w:color w:val="000000"/>
                          <w:sz w:val="16"/>
                          <w:szCs w:val="22"/>
                        </w:rPr>
                        <w:t>mln</w:t>
                      </w:r>
                      <w:proofErr w:type="spellEnd"/>
                      <w:r w:rsidRPr="00A863A4">
                        <w:rPr>
                          <w:rFonts w:ascii="Calibri" w:hAnsi="Calibri" w:cs="Calibri"/>
                          <w:color w:val="000000"/>
                          <w:sz w:val="16"/>
                          <w:szCs w:val="22"/>
                        </w:rPr>
                        <w:t>. USD)</w:t>
                      </w:r>
                    </w:p>
                  </w:txbxContent>
                </v:textbox>
                <w10:wrap type="square" anchorx="margin" anchory="page"/>
              </v:shape>
            </w:pict>
          </mc:Fallback>
        </mc:AlternateContent>
      </w:r>
      <w:r w:rsidR="007E3C2C" w:rsidRPr="00D1550C">
        <w:t xml:space="preserve"> </w:t>
      </w:r>
      <w:r w:rsidR="007E3C2C" w:rsidRPr="00D1550C">
        <w:rPr>
          <w:sz w:val="26"/>
          <w:szCs w:val="26"/>
        </w:rPr>
        <w:t>During the 1st half of 2021, USD 1</w:t>
      </w:r>
      <w:r w:rsidR="00944557" w:rsidRPr="00D1550C">
        <w:rPr>
          <w:sz w:val="26"/>
          <w:szCs w:val="26"/>
        </w:rPr>
        <w:t>.</w:t>
      </w:r>
      <w:r w:rsidR="007E3C2C" w:rsidRPr="00D1550C">
        <w:rPr>
          <w:sz w:val="26"/>
          <w:szCs w:val="26"/>
        </w:rPr>
        <w:t>2 billion was attracted by the Government sector while private sector attracted about USD 3</w:t>
      </w:r>
      <w:r w:rsidR="00944557" w:rsidRPr="00D1550C">
        <w:rPr>
          <w:sz w:val="26"/>
          <w:szCs w:val="26"/>
        </w:rPr>
        <w:t>.</w:t>
      </w:r>
      <w:r w:rsidR="007E3C2C" w:rsidRPr="00D1550C">
        <w:rPr>
          <w:sz w:val="26"/>
          <w:szCs w:val="26"/>
        </w:rPr>
        <w:t xml:space="preserve">2 billion. </w:t>
      </w:r>
      <w:r w:rsidR="007E3C2C" w:rsidRPr="00D1550C">
        <w:rPr>
          <w:rFonts w:cs="Calibri"/>
          <w:sz w:val="26"/>
          <w:szCs w:val="26"/>
        </w:rPr>
        <w:t>Borrowings, mainly, were attrac</w:t>
      </w:r>
      <w:r w:rsidR="00E677F5" w:rsidRPr="00D1550C">
        <w:rPr>
          <w:rFonts w:cs="Calibri"/>
          <w:sz w:val="26"/>
          <w:szCs w:val="26"/>
        </w:rPr>
        <w:t>ted by commercial banks – USD 1.</w:t>
      </w:r>
      <w:r w:rsidR="007E3C2C" w:rsidRPr="00D1550C">
        <w:rPr>
          <w:rFonts w:cs="Calibri"/>
          <w:sz w:val="26"/>
          <w:szCs w:val="26"/>
        </w:rPr>
        <w:t>6 billion and energy sector attracted – USD 379</w:t>
      </w:r>
      <w:r w:rsidR="00E677F5" w:rsidRPr="00D1550C">
        <w:rPr>
          <w:rFonts w:cs="Calibri"/>
          <w:sz w:val="26"/>
          <w:szCs w:val="26"/>
        </w:rPr>
        <w:t>.</w:t>
      </w:r>
      <w:r w:rsidR="007E3C2C" w:rsidRPr="00D1550C">
        <w:rPr>
          <w:rFonts w:cs="Calibri"/>
          <w:sz w:val="26"/>
          <w:szCs w:val="26"/>
        </w:rPr>
        <w:t>0 million, and other sectors of the economy – USD 1</w:t>
      </w:r>
      <w:r w:rsidR="00E677F5" w:rsidRPr="00D1550C">
        <w:rPr>
          <w:rFonts w:cs="Calibri"/>
          <w:sz w:val="26"/>
          <w:szCs w:val="26"/>
        </w:rPr>
        <w:t>.</w:t>
      </w:r>
      <w:r w:rsidR="007E3C2C" w:rsidRPr="00D1550C">
        <w:rPr>
          <w:rFonts w:cs="Calibri"/>
          <w:sz w:val="26"/>
          <w:szCs w:val="26"/>
        </w:rPr>
        <w:t xml:space="preserve">2 billion. </w:t>
      </w:r>
      <w:r w:rsidR="009B17AE" w:rsidRPr="00D1550C">
        <w:rPr>
          <w:rFonts w:cs="Calibri"/>
          <w:sz w:val="26"/>
          <w:szCs w:val="26"/>
        </w:rPr>
        <w:t xml:space="preserve"> During the second qurter of 2021 “UZAUTO MOTORS” issued securities with nominal</w:t>
      </w:r>
      <w:r w:rsidR="007A4683">
        <w:rPr>
          <w:rFonts w:cs="Calibri"/>
          <w:sz w:val="26"/>
          <w:szCs w:val="26"/>
        </w:rPr>
        <w:t xml:space="preserve"> value of</w:t>
      </w:r>
      <w:r w:rsidR="009B17AE" w:rsidRPr="00D1550C">
        <w:rPr>
          <w:rFonts w:cs="Calibri"/>
          <w:sz w:val="26"/>
          <w:szCs w:val="26"/>
        </w:rPr>
        <w:t xml:space="preserve"> USD 300 million for 5 years at 4.85 </w:t>
      </w:r>
      <w:r w:rsidR="007A4683">
        <w:rPr>
          <w:rFonts w:cs="Calibri"/>
          <w:sz w:val="26"/>
          <w:szCs w:val="26"/>
        </w:rPr>
        <w:t>rate</w:t>
      </w:r>
      <w:r w:rsidR="009B17AE" w:rsidRPr="00D1550C">
        <w:rPr>
          <w:rFonts w:cs="Calibri"/>
          <w:sz w:val="26"/>
          <w:szCs w:val="26"/>
        </w:rPr>
        <w:t xml:space="preserve">, placed in international markets </w:t>
      </w:r>
      <w:r w:rsidR="0088004A" w:rsidRPr="00D1550C">
        <w:rPr>
          <w:rFonts w:cs="Calibri"/>
          <w:sz w:val="26"/>
          <w:szCs w:val="26"/>
        </w:rPr>
        <w:t>which</w:t>
      </w:r>
      <w:r w:rsidR="007E3C2C" w:rsidRPr="00D1550C">
        <w:rPr>
          <w:rFonts w:cs="Calibri"/>
          <w:sz w:val="26"/>
          <w:szCs w:val="26"/>
        </w:rPr>
        <w:t xml:space="preserve"> was </w:t>
      </w:r>
      <w:r w:rsidR="007A4683">
        <w:rPr>
          <w:rFonts w:cs="Calibri"/>
          <w:sz w:val="26"/>
          <w:szCs w:val="26"/>
        </w:rPr>
        <w:t xml:space="preserve">the main cause in rise of indebtedness of </w:t>
      </w:r>
      <w:r w:rsidR="0088004A" w:rsidRPr="00D1550C">
        <w:rPr>
          <w:rFonts w:cs="Calibri"/>
          <w:sz w:val="26"/>
          <w:szCs w:val="26"/>
        </w:rPr>
        <w:t>other sector</w:t>
      </w:r>
      <w:r w:rsidR="007A4683">
        <w:rPr>
          <w:rFonts w:cs="Calibri"/>
          <w:sz w:val="26"/>
          <w:szCs w:val="26"/>
        </w:rPr>
        <w:t>s</w:t>
      </w:r>
      <w:r w:rsidR="0088004A" w:rsidRPr="00D1550C">
        <w:rPr>
          <w:rFonts w:cs="Calibri"/>
          <w:sz w:val="26"/>
          <w:szCs w:val="26"/>
        </w:rPr>
        <w:t>.</w:t>
      </w:r>
      <w:r w:rsidR="007E3C2C" w:rsidRPr="00D1550C">
        <w:rPr>
          <w:rFonts w:cs="Calibri"/>
          <w:sz w:val="26"/>
          <w:szCs w:val="26"/>
        </w:rPr>
        <w:t xml:space="preserve"> </w:t>
      </w:r>
      <w:r w:rsidR="007D7C71" w:rsidRPr="00D1550C">
        <w:rPr>
          <w:rFonts w:cs="Calibri"/>
          <w:color w:val="0070C0"/>
          <w:sz w:val="26"/>
          <w:szCs w:val="26"/>
        </w:rPr>
        <w:t>(Figure 2</w:t>
      </w:r>
      <w:r w:rsidR="00804478" w:rsidRPr="00D1550C">
        <w:rPr>
          <w:rFonts w:cs="Calibri"/>
          <w:color w:val="0070C0"/>
          <w:sz w:val="26"/>
          <w:szCs w:val="26"/>
        </w:rPr>
        <w:t>1</w:t>
      </w:r>
      <w:r w:rsidR="007D7C71" w:rsidRPr="00D1550C">
        <w:rPr>
          <w:rFonts w:cs="Calibri"/>
          <w:color w:val="0070C0"/>
          <w:sz w:val="26"/>
          <w:szCs w:val="26"/>
        </w:rPr>
        <w:t>)</w:t>
      </w:r>
      <w:r w:rsidR="007D7C71" w:rsidRPr="00D1550C">
        <w:rPr>
          <w:rFonts w:cs="Calibri"/>
          <w:sz w:val="26"/>
          <w:szCs w:val="26"/>
        </w:rPr>
        <w:t>.</w:t>
      </w:r>
    </w:p>
    <w:p w:rsidR="00963C46" w:rsidRPr="00D1550C" w:rsidRDefault="00497BD9" w:rsidP="00A227C9">
      <w:pPr>
        <w:spacing w:before="120" w:after="120" w:line="288" w:lineRule="auto"/>
        <w:ind w:firstLine="708"/>
        <w:jc w:val="both"/>
        <w:rPr>
          <w:sz w:val="26"/>
          <w:szCs w:val="26"/>
        </w:rPr>
      </w:pPr>
      <w:r w:rsidRPr="00D1550C">
        <w:rPr>
          <w:rFonts w:cs="Calibri"/>
          <w:sz w:val="26"/>
          <w:szCs w:val="26"/>
        </w:rPr>
        <w:t>In addition, during the considered period, the government sector made principal payment</w:t>
      </w:r>
      <w:r w:rsidR="007A763E" w:rsidRPr="00D1550C">
        <w:rPr>
          <w:rFonts w:cs="Calibri"/>
          <w:sz w:val="26"/>
          <w:szCs w:val="26"/>
        </w:rPr>
        <w:t>s</w:t>
      </w:r>
      <w:r w:rsidRPr="00D1550C">
        <w:rPr>
          <w:rFonts w:cs="Calibri"/>
          <w:sz w:val="26"/>
          <w:szCs w:val="26"/>
        </w:rPr>
        <w:t xml:space="preserve"> in the amount of </w:t>
      </w:r>
      <w:r w:rsidR="00A3712C" w:rsidRPr="00D1550C">
        <w:rPr>
          <w:rFonts w:cs="Calibri"/>
          <w:sz w:val="26"/>
          <w:szCs w:val="26"/>
        </w:rPr>
        <w:t xml:space="preserve">USD </w:t>
      </w:r>
      <w:r w:rsidR="0022722A" w:rsidRPr="00D1550C">
        <w:rPr>
          <w:rFonts w:cs="Calibri"/>
          <w:sz w:val="26"/>
          <w:szCs w:val="26"/>
        </w:rPr>
        <w:t>353</w:t>
      </w:r>
      <w:r w:rsidR="002E2F77" w:rsidRPr="00D1550C">
        <w:rPr>
          <w:rFonts w:cs="Calibri"/>
          <w:sz w:val="26"/>
          <w:szCs w:val="26"/>
        </w:rPr>
        <w:t>.</w:t>
      </w:r>
      <w:r w:rsidR="0022722A" w:rsidRPr="00D1550C">
        <w:rPr>
          <w:rFonts w:cs="Calibri"/>
          <w:sz w:val="26"/>
          <w:szCs w:val="26"/>
        </w:rPr>
        <w:t>4</w:t>
      </w:r>
      <w:r w:rsidR="00A3712C" w:rsidRPr="00D1550C">
        <w:rPr>
          <w:rFonts w:cs="Calibri"/>
          <w:sz w:val="26"/>
          <w:szCs w:val="26"/>
        </w:rPr>
        <w:t xml:space="preserve"> million </w:t>
      </w:r>
      <w:r w:rsidRPr="00D1550C">
        <w:rPr>
          <w:rFonts w:cs="Calibri"/>
          <w:sz w:val="26"/>
          <w:szCs w:val="26"/>
        </w:rPr>
        <w:t>and interest payment</w:t>
      </w:r>
      <w:r w:rsidR="007A763E" w:rsidRPr="00D1550C">
        <w:rPr>
          <w:rFonts w:cs="Calibri"/>
          <w:sz w:val="26"/>
          <w:szCs w:val="26"/>
        </w:rPr>
        <w:t>s</w:t>
      </w:r>
      <w:r w:rsidRPr="00D1550C">
        <w:rPr>
          <w:rFonts w:cs="Calibri"/>
          <w:sz w:val="26"/>
          <w:szCs w:val="26"/>
        </w:rPr>
        <w:t xml:space="preserve"> in the amount of USD </w:t>
      </w:r>
      <w:r w:rsidR="0022722A" w:rsidRPr="00D1550C">
        <w:rPr>
          <w:rFonts w:cs="Calibri"/>
          <w:sz w:val="26"/>
          <w:szCs w:val="26"/>
        </w:rPr>
        <w:t>206</w:t>
      </w:r>
      <w:r w:rsidR="002E2F77" w:rsidRPr="00D1550C">
        <w:rPr>
          <w:rFonts w:cs="Calibri"/>
          <w:sz w:val="26"/>
          <w:szCs w:val="26"/>
        </w:rPr>
        <w:t>.</w:t>
      </w:r>
      <w:r w:rsidR="0022722A" w:rsidRPr="00D1550C">
        <w:rPr>
          <w:rFonts w:cs="Calibri"/>
          <w:sz w:val="26"/>
          <w:szCs w:val="26"/>
        </w:rPr>
        <w:t>5</w:t>
      </w:r>
      <w:r w:rsidR="00A3712C" w:rsidRPr="00D1550C">
        <w:rPr>
          <w:rFonts w:cs="Calibri"/>
          <w:sz w:val="26"/>
          <w:szCs w:val="26"/>
        </w:rPr>
        <w:t xml:space="preserve"> million</w:t>
      </w:r>
      <w:r w:rsidR="00A3712C" w:rsidRPr="00D1550C">
        <w:rPr>
          <w:sz w:val="26"/>
          <w:szCs w:val="26"/>
        </w:rPr>
        <w:t xml:space="preserve"> </w:t>
      </w:r>
      <w:r w:rsidR="00517C35" w:rsidRPr="00D1550C">
        <w:rPr>
          <w:rFonts w:cs="Calibri"/>
          <w:color w:val="0070C0"/>
          <w:sz w:val="26"/>
          <w:szCs w:val="26"/>
        </w:rPr>
        <w:t>(</w:t>
      </w:r>
      <w:r w:rsidR="00B23450" w:rsidRPr="00D1550C">
        <w:rPr>
          <w:rFonts w:cs="Calibri"/>
          <w:color w:val="0070C0"/>
          <w:sz w:val="26"/>
          <w:szCs w:val="26"/>
        </w:rPr>
        <w:t>Figures</w:t>
      </w:r>
      <w:r w:rsidR="00517C35" w:rsidRPr="00D1550C">
        <w:rPr>
          <w:rFonts w:cs="Calibri"/>
          <w:color w:val="0070C0"/>
          <w:sz w:val="26"/>
          <w:szCs w:val="26"/>
        </w:rPr>
        <w:t xml:space="preserve"> 2</w:t>
      </w:r>
      <w:r w:rsidR="00804478" w:rsidRPr="00D1550C">
        <w:rPr>
          <w:rFonts w:cs="Calibri"/>
          <w:color w:val="0070C0"/>
          <w:sz w:val="26"/>
          <w:szCs w:val="26"/>
        </w:rPr>
        <w:t>2</w:t>
      </w:r>
      <w:r w:rsidR="00C61BD8" w:rsidRPr="00D1550C">
        <w:rPr>
          <w:rFonts w:cs="Calibri"/>
          <w:color w:val="0070C0"/>
          <w:sz w:val="26"/>
          <w:szCs w:val="26"/>
        </w:rPr>
        <w:t>,</w:t>
      </w:r>
      <w:r w:rsidR="00517C35" w:rsidRPr="00D1550C">
        <w:rPr>
          <w:rFonts w:cs="Calibri"/>
          <w:color w:val="0070C0"/>
          <w:sz w:val="26"/>
          <w:szCs w:val="26"/>
        </w:rPr>
        <w:t xml:space="preserve"> 2</w:t>
      </w:r>
      <w:r w:rsidR="00804478" w:rsidRPr="00D1550C">
        <w:rPr>
          <w:rFonts w:cs="Calibri"/>
          <w:color w:val="0070C0"/>
          <w:sz w:val="26"/>
          <w:szCs w:val="26"/>
        </w:rPr>
        <w:t>3</w:t>
      </w:r>
      <w:r w:rsidR="00C61BD8" w:rsidRPr="00D1550C">
        <w:rPr>
          <w:rFonts w:cs="Calibri"/>
          <w:color w:val="0070C0"/>
          <w:sz w:val="26"/>
          <w:szCs w:val="26"/>
        </w:rPr>
        <w:t>).</w:t>
      </w:r>
    </w:p>
    <w:p w:rsidR="00C27F36" w:rsidRPr="00D1550C" w:rsidRDefault="00003E6F" w:rsidP="00B535EE">
      <w:pPr>
        <w:spacing w:before="120" w:after="120" w:line="288" w:lineRule="auto"/>
        <w:ind w:firstLine="709"/>
        <w:jc w:val="both"/>
        <w:rPr>
          <w:rFonts w:cs="Calibri"/>
          <w:sz w:val="26"/>
          <w:szCs w:val="26"/>
        </w:rPr>
      </w:pPr>
      <w:r w:rsidRPr="00D1550C">
        <w:rPr>
          <w:noProof/>
          <w:lang w:val="ru-RU"/>
        </w:rPr>
        <w:lastRenderedPageBreak/>
        <w:drawing>
          <wp:anchor distT="0" distB="0" distL="114300" distR="114300" simplePos="0" relativeHeight="251716608" behindDoc="0" locked="0" layoutInCell="1" allowOverlap="1" wp14:anchorId="30EC6109" wp14:editId="77535A74">
            <wp:simplePos x="0" y="0"/>
            <wp:positionH relativeFrom="column">
              <wp:posOffset>2658745</wp:posOffset>
            </wp:positionH>
            <wp:positionV relativeFrom="paragraph">
              <wp:posOffset>642702</wp:posOffset>
            </wp:positionV>
            <wp:extent cx="3754120" cy="3096260"/>
            <wp:effectExtent l="0" t="0" r="0" b="8890"/>
            <wp:wrapSquare wrapText="bothSides"/>
            <wp:docPr id="35" name="Диаграмма 35">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D1550C">
        <w:rPr>
          <w:rFonts w:cs="Calibri"/>
          <w:noProof/>
          <w:sz w:val="26"/>
          <w:szCs w:val="26"/>
          <w:lang w:val="ru-RU"/>
        </w:rPr>
        <mc:AlternateContent>
          <mc:Choice Requires="wps">
            <w:drawing>
              <wp:anchor distT="0" distB="0" distL="114300" distR="114300" simplePos="0" relativeHeight="251723776" behindDoc="0" locked="0" layoutInCell="1" allowOverlap="1" wp14:anchorId="0C67E0AD" wp14:editId="08230CFD">
                <wp:simplePos x="0" y="0"/>
                <wp:positionH relativeFrom="column">
                  <wp:posOffset>2786711</wp:posOffset>
                </wp:positionH>
                <wp:positionV relativeFrom="paragraph">
                  <wp:posOffset>66288</wp:posOffset>
                </wp:positionV>
                <wp:extent cx="3622675" cy="509905"/>
                <wp:effectExtent l="0" t="0" r="0" b="4445"/>
                <wp:wrapSquare wrapText="bothSides"/>
                <wp:docPr id="3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E6F" w:rsidRPr="006B66C6" w:rsidRDefault="00003E6F" w:rsidP="00003E6F">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2</w:t>
                            </w:r>
                          </w:p>
                          <w:p w:rsidR="00003E6F" w:rsidRPr="002A63B1" w:rsidRDefault="00003E6F" w:rsidP="00003E6F">
                            <w:pPr>
                              <w:pStyle w:val="aff8"/>
                              <w:spacing w:before="0" w:beforeAutospacing="0" w:after="0" w:afterAutospacing="0"/>
                              <w:ind w:firstLine="284"/>
                              <w:jc w:val="center"/>
                              <w:rPr>
                                <w:rFonts w:ascii="Calibri" w:hAnsi="Calibri" w:cs="Calibri"/>
                                <w:b/>
                                <w:bCs/>
                                <w:color w:val="000000"/>
                                <w:sz w:val="20"/>
                                <w:szCs w:val="22"/>
                              </w:rPr>
                            </w:pPr>
                            <w:r w:rsidRPr="00886710">
                              <w:rPr>
                                <w:rFonts w:ascii="Calibri" w:hAnsi="Calibri" w:cs="Calibri"/>
                                <w:b/>
                                <w:bCs/>
                                <w:color w:val="000000"/>
                                <w:sz w:val="20"/>
                                <w:szCs w:val="22"/>
                              </w:rPr>
                              <w:t>Repayment of principal by sectors of economy</w:t>
                            </w:r>
                          </w:p>
                          <w:p w:rsidR="00003E6F" w:rsidRPr="00D12AC2" w:rsidRDefault="00003E6F" w:rsidP="00003E6F">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p w:rsidR="00003E6F" w:rsidRPr="00566CCC" w:rsidRDefault="00003E6F" w:rsidP="00003E6F">
                            <w:pPr>
                              <w:pStyle w:val="aff8"/>
                              <w:spacing w:before="0" w:beforeAutospacing="0" w:after="0" w:afterAutospacing="0"/>
                              <w:ind w:firstLine="284"/>
                              <w:rPr>
                                <w:rFonts w:ascii="Calibri" w:hAnsi="Calibri" w:cs="Calibri"/>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7E0AD" id="_x0000_s1031" type="#_x0000_t202" style="position:absolute;left:0;text-align:left;margin-left:219.45pt;margin-top:5.2pt;width:285.25pt;height:4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" stroked="f">
                <v:textbox>
                  <w:txbxContent>
                    <w:p w:rsidR="00003E6F" w:rsidRPr="006B66C6" w:rsidRDefault="00003E6F" w:rsidP="00003E6F">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2</w:t>
                      </w:r>
                    </w:p>
                    <w:p w:rsidR="00003E6F" w:rsidRPr="002A63B1" w:rsidRDefault="00003E6F" w:rsidP="00003E6F">
                      <w:pPr>
                        <w:pStyle w:val="aff8"/>
                        <w:spacing w:before="0" w:beforeAutospacing="0" w:after="0" w:afterAutospacing="0"/>
                        <w:ind w:firstLine="284"/>
                        <w:jc w:val="center"/>
                        <w:rPr>
                          <w:rFonts w:ascii="Calibri" w:hAnsi="Calibri" w:cs="Calibri"/>
                          <w:b/>
                          <w:bCs/>
                          <w:color w:val="000000"/>
                          <w:sz w:val="20"/>
                          <w:szCs w:val="22"/>
                        </w:rPr>
                      </w:pPr>
                      <w:r w:rsidRPr="00886710">
                        <w:rPr>
                          <w:rFonts w:ascii="Calibri" w:hAnsi="Calibri" w:cs="Calibri"/>
                          <w:b/>
                          <w:bCs/>
                          <w:color w:val="000000"/>
                          <w:sz w:val="20"/>
                          <w:szCs w:val="22"/>
                        </w:rPr>
                        <w:t>Repayment of principal by sectors of economy</w:t>
                      </w:r>
                    </w:p>
                    <w:p w:rsidR="00003E6F" w:rsidRPr="00D12AC2" w:rsidRDefault="00003E6F" w:rsidP="00003E6F">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w:t>
                      </w:r>
                      <w:proofErr w:type="spellStart"/>
                      <w:r w:rsidRPr="00A302C0">
                        <w:rPr>
                          <w:rFonts w:ascii="Calibri" w:hAnsi="Calibri" w:cs="Calibri"/>
                          <w:color w:val="000000"/>
                          <w:sz w:val="16"/>
                          <w:szCs w:val="22"/>
                        </w:rPr>
                        <w:t>mln</w:t>
                      </w:r>
                      <w:proofErr w:type="spellEnd"/>
                      <w:r w:rsidRPr="00A302C0">
                        <w:rPr>
                          <w:rFonts w:ascii="Calibri" w:hAnsi="Calibri" w:cs="Calibri"/>
                          <w:color w:val="000000"/>
                          <w:sz w:val="16"/>
                          <w:szCs w:val="22"/>
                        </w:rPr>
                        <w:t>. USD)</w:t>
                      </w:r>
                    </w:p>
                    <w:p w:rsidR="00003E6F" w:rsidRPr="00566CCC" w:rsidRDefault="00003E6F" w:rsidP="00003E6F">
                      <w:pPr>
                        <w:pStyle w:val="aff8"/>
                        <w:spacing w:before="0" w:beforeAutospacing="0" w:after="0" w:afterAutospacing="0"/>
                        <w:ind w:firstLine="284"/>
                        <w:rPr>
                          <w:rFonts w:ascii="Calibri" w:hAnsi="Calibri" w:cs="Calibri"/>
                          <w:sz w:val="18"/>
                        </w:rPr>
                      </w:pPr>
                    </w:p>
                  </w:txbxContent>
                </v:textbox>
                <w10:wrap type="square"/>
              </v:shape>
            </w:pict>
          </mc:Fallback>
        </mc:AlternateContent>
      </w:r>
      <w:r w:rsidR="00B535EE" w:rsidRPr="00D1550C">
        <w:rPr>
          <w:rFonts w:cs="Calibri"/>
          <w:sz w:val="26"/>
          <w:szCs w:val="26"/>
        </w:rPr>
        <w:t>The private sector made principal payme</w:t>
      </w:r>
      <w:r w:rsidR="007A763E" w:rsidRPr="00D1550C">
        <w:rPr>
          <w:rFonts w:cs="Calibri"/>
          <w:sz w:val="26"/>
          <w:szCs w:val="26"/>
        </w:rPr>
        <w:t xml:space="preserve">nts in the amount of USD </w:t>
      </w:r>
      <w:r w:rsidR="00393BBE" w:rsidRPr="00D1550C">
        <w:rPr>
          <w:rFonts w:cs="Calibri"/>
          <w:sz w:val="26"/>
          <w:szCs w:val="26"/>
        </w:rPr>
        <w:t>1</w:t>
      </w:r>
      <w:r w:rsidR="002E2F77" w:rsidRPr="00D1550C">
        <w:rPr>
          <w:rFonts w:cs="Calibri"/>
          <w:sz w:val="26"/>
          <w:szCs w:val="26"/>
        </w:rPr>
        <w:t>.</w:t>
      </w:r>
      <w:r w:rsidR="0056530C" w:rsidRPr="00D1550C">
        <w:rPr>
          <w:rFonts w:cs="Calibri"/>
          <w:sz w:val="26"/>
          <w:szCs w:val="26"/>
        </w:rPr>
        <w:t xml:space="preserve">6 </w:t>
      </w:r>
      <w:r w:rsidR="00393BBE" w:rsidRPr="00D1550C">
        <w:rPr>
          <w:rFonts w:cs="Calibri"/>
          <w:sz w:val="26"/>
          <w:szCs w:val="26"/>
        </w:rPr>
        <w:t>b</w:t>
      </w:r>
      <w:r w:rsidR="0056530C" w:rsidRPr="00D1550C">
        <w:rPr>
          <w:rFonts w:cs="Calibri"/>
          <w:sz w:val="26"/>
          <w:szCs w:val="26"/>
        </w:rPr>
        <w:t xml:space="preserve">illion </w:t>
      </w:r>
      <w:r w:rsidR="00B535EE" w:rsidRPr="00D1550C">
        <w:rPr>
          <w:rFonts w:cs="Calibri"/>
          <w:sz w:val="26"/>
          <w:szCs w:val="26"/>
        </w:rPr>
        <w:t xml:space="preserve">and interest </w:t>
      </w:r>
      <w:r w:rsidR="00EE1489" w:rsidRPr="00D1550C">
        <w:rPr>
          <w:rFonts w:cs="Calibri"/>
          <w:sz w:val="26"/>
          <w:szCs w:val="26"/>
        </w:rPr>
        <w:t xml:space="preserve">payments in the amount of USD </w:t>
      </w:r>
      <w:r w:rsidR="00393BBE" w:rsidRPr="00D1550C">
        <w:rPr>
          <w:rFonts w:cs="Calibri"/>
          <w:sz w:val="26"/>
          <w:szCs w:val="26"/>
        </w:rPr>
        <w:t>238</w:t>
      </w:r>
      <w:r w:rsidR="002E2F77" w:rsidRPr="00D1550C">
        <w:rPr>
          <w:rFonts w:cs="Calibri"/>
          <w:sz w:val="26"/>
          <w:szCs w:val="26"/>
        </w:rPr>
        <w:t>.</w:t>
      </w:r>
      <w:r w:rsidR="00393BBE" w:rsidRPr="00D1550C">
        <w:rPr>
          <w:rFonts w:cs="Calibri"/>
          <w:sz w:val="26"/>
          <w:szCs w:val="26"/>
        </w:rPr>
        <w:t>8</w:t>
      </w:r>
      <w:r w:rsidR="0056530C" w:rsidRPr="00D1550C">
        <w:rPr>
          <w:rFonts w:cs="Calibri"/>
          <w:sz w:val="26"/>
          <w:szCs w:val="26"/>
        </w:rPr>
        <w:t xml:space="preserve"> </w:t>
      </w:r>
      <w:r w:rsidR="00B535EE" w:rsidRPr="00D1550C">
        <w:rPr>
          <w:rFonts w:cs="Calibri"/>
          <w:sz w:val="26"/>
          <w:szCs w:val="26"/>
        </w:rPr>
        <w:t xml:space="preserve">million. </w:t>
      </w:r>
    </w:p>
    <w:p w:rsidR="00BC0979" w:rsidRPr="00D1550C" w:rsidRDefault="007A4683" w:rsidP="00971EB9">
      <w:pPr>
        <w:spacing w:before="120" w:after="120" w:line="288" w:lineRule="auto"/>
        <w:ind w:firstLine="709"/>
        <w:jc w:val="both"/>
        <w:rPr>
          <w:rFonts w:cs="Calibri"/>
          <w:sz w:val="26"/>
          <w:szCs w:val="26"/>
        </w:rPr>
      </w:pPr>
      <w:r>
        <w:rPr>
          <w:rFonts w:cs="Calibri"/>
          <w:sz w:val="26"/>
          <w:szCs w:val="26"/>
        </w:rPr>
        <w:t>B</w:t>
      </w:r>
      <w:r w:rsidR="0088004A" w:rsidRPr="00D1550C">
        <w:rPr>
          <w:rFonts w:cs="Calibri"/>
          <w:sz w:val="26"/>
          <w:szCs w:val="26"/>
        </w:rPr>
        <w:t>ulk of repayments are made by</w:t>
      </w:r>
      <w:r w:rsidR="00B535EE" w:rsidRPr="00D1550C">
        <w:rPr>
          <w:rFonts w:cs="Calibri"/>
          <w:sz w:val="26"/>
          <w:szCs w:val="26"/>
        </w:rPr>
        <w:t xml:space="preserve"> energy sector</w:t>
      </w:r>
      <w:r w:rsidR="007A763E" w:rsidRPr="00D1550C">
        <w:rPr>
          <w:rFonts w:cs="Calibri"/>
          <w:sz w:val="26"/>
          <w:szCs w:val="26"/>
        </w:rPr>
        <w:t xml:space="preserve"> </w:t>
      </w:r>
      <w:r w:rsidR="00517339" w:rsidRPr="00D1550C">
        <w:rPr>
          <w:rFonts w:cs="Calibri"/>
          <w:sz w:val="26"/>
          <w:szCs w:val="26"/>
        </w:rPr>
        <w:t xml:space="preserve">enterprises </w:t>
      </w:r>
      <w:r w:rsidR="007A763E" w:rsidRPr="00D1550C">
        <w:rPr>
          <w:rFonts w:cs="Calibri"/>
          <w:sz w:val="26"/>
          <w:szCs w:val="26"/>
        </w:rPr>
        <w:t>as well as</w:t>
      </w:r>
      <w:r w:rsidR="00B535EE" w:rsidRPr="00D1550C">
        <w:rPr>
          <w:rFonts w:cs="Calibri"/>
          <w:sz w:val="26"/>
          <w:szCs w:val="26"/>
        </w:rPr>
        <w:t xml:space="preserve"> banking sector</w:t>
      </w:r>
      <w:r w:rsidR="0088004A" w:rsidRPr="00D1550C">
        <w:rPr>
          <w:rFonts w:cs="Calibri"/>
          <w:sz w:val="26"/>
          <w:szCs w:val="26"/>
        </w:rPr>
        <w:t xml:space="preserve"> and other sectors</w:t>
      </w:r>
      <w:r w:rsidR="007A763E" w:rsidRPr="00D1550C">
        <w:rPr>
          <w:rFonts w:cs="Calibri"/>
          <w:sz w:val="26"/>
          <w:szCs w:val="26"/>
        </w:rPr>
        <w:t xml:space="preserve"> </w:t>
      </w:r>
      <w:r w:rsidR="00517C35" w:rsidRPr="00D1550C">
        <w:rPr>
          <w:rFonts w:cs="Calibri"/>
          <w:color w:val="0070C0"/>
          <w:sz w:val="26"/>
          <w:szCs w:val="26"/>
        </w:rPr>
        <w:t>(</w:t>
      </w:r>
      <w:r w:rsidR="00B23450" w:rsidRPr="00D1550C">
        <w:rPr>
          <w:rFonts w:cs="Calibri"/>
          <w:color w:val="0070C0"/>
          <w:sz w:val="26"/>
          <w:szCs w:val="26"/>
        </w:rPr>
        <w:t>Figures</w:t>
      </w:r>
      <w:r w:rsidR="00517C35" w:rsidRPr="00D1550C">
        <w:rPr>
          <w:rFonts w:cs="Calibri"/>
          <w:color w:val="0070C0"/>
          <w:sz w:val="26"/>
          <w:szCs w:val="26"/>
        </w:rPr>
        <w:t xml:space="preserve"> 2</w:t>
      </w:r>
      <w:r w:rsidR="00804478" w:rsidRPr="00D1550C">
        <w:rPr>
          <w:rFonts w:cs="Calibri"/>
          <w:color w:val="0070C0"/>
          <w:sz w:val="26"/>
          <w:szCs w:val="26"/>
        </w:rPr>
        <w:t>2</w:t>
      </w:r>
      <w:r w:rsidR="00B535EE" w:rsidRPr="00D1550C">
        <w:rPr>
          <w:rFonts w:cs="Calibri"/>
          <w:color w:val="0070C0"/>
          <w:sz w:val="26"/>
          <w:szCs w:val="26"/>
        </w:rPr>
        <w:t>,</w:t>
      </w:r>
      <w:r w:rsidR="005B7939" w:rsidRPr="00D1550C">
        <w:rPr>
          <w:rFonts w:cs="Calibri"/>
          <w:color w:val="0070C0"/>
          <w:sz w:val="26"/>
          <w:szCs w:val="26"/>
        </w:rPr>
        <w:t xml:space="preserve"> </w:t>
      </w:r>
      <w:r w:rsidR="00517C35" w:rsidRPr="00D1550C">
        <w:rPr>
          <w:rFonts w:cs="Calibri"/>
          <w:color w:val="0070C0"/>
          <w:sz w:val="26"/>
          <w:szCs w:val="26"/>
        </w:rPr>
        <w:t>2</w:t>
      </w:r>
      <w:r w:rsidR="00804478" w:rsidRPr="00D1550C">
        <w:rPr>
          <w:rFonts w:cs="Calibri"/>
          <w:color w:val="0070C0"/>
          <w:sz w:val="26"/>
          <w:szCs w:val="26"/>
        </w:rPr>
        <w:t>3</w:t>
      </w:r>
      <w:r w:rsidR="00B535EE" w:rsidRPr="00D1550C">
        <w:rPr>
          <w:rFonts w:cs="Calibri"/>
          <w:color w:val="0070C0"/>
          <w:sz w:val="26"/>
          <w:szCs w:val="26"/>
        </w:rPr>
        <w:t>)</w:t>
      </w:r>
      <w:r w:rsidR="002A63B1" w:rsidRPr="00D1550C">
        <w:rPr>
          <w:rFonts w:cs="Calibri"/>
          <w:sz w:val="26"/>
          <w:szCs w:val="26"/>
        </w:rPr>
        <w:t>.</w:t>
      </w:r>
    </w:p>
    <w:p w:rsidR="00B535EE" w:rsidRPr="00D1550C" w:rsidRDefault="00003E6F" w:rsidP="0088004A">
      <w:pPr>
        <w:spacing w:before="120" w:after="120" w:line="288" w:lineRule="auto"/>
        <w:ind w:firstLine="708"/>
        <w:jc w:val="both"/>
        <w:rPr>
          <w:rFonts w:cs="Calibri"/>
          <w:color w:val="0070C0"/>
          <w:sz w:val="26"/>
          <w:szCs w:val="26"/>
        </w:rPr>
      </w:pPr>
      <w:r w:rsidRPr="00D1550C">
        <w:rPr>
          <w:rFonts w:cs="Arial"/>
          <w:noProof/>
          <w:lang w:val="ru-RU"/>
        </w:rPr>
        <mc:AlternateContent>
          <mc:Choice Requires="wps">
            <w:drawing>
              <wp:anchor distT="0" distB="0" distL="114300" distR="114300" simplePos="0" relativeHeight="251658240" behindDoc="0" locked="0" layoutInCell="1" allowOverlap="1" wp14:anchorId="5D12184F" wp14:editId="1A3B83E4">
                <wp:simplePos x="0" y="0"/>
                <wp:positionH relativeFrom="margin">
                  <wp:posOffset>2505710</wp:posOffset>
                </wp:positionH>
                <wp:positionV relativeFrom="margin">
                  <wp:posOffset>3886642</wp:posOffset>
                </wp:positionV>
                <wp:extent cx="3804920" cy="572135"/>
                <wp:effectExtent l="0" t="0" r="5080" b="0"/>
                <wp:wrapSquare wrapText="bothSides"/>
                <wp:docPr id="3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1B09" w:rsidRPr="006B66C6" w:rsidRDefault="00461B09" w:rsidP="00147A87">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3</w:t>
                            </w:r>
                          </w:p>
                          <w:p w:rsidR="00461B09" w:rsidRDefault="00461B09" w:rsidP="00895A09">
                            <w:pPr>
                              <w:pStyle w:val="aff8"/>
                              <w:spacing w:before="0" w:beforeAutospacing="0" w:after="0" w:afterAutospacing="0"/>
                              <w:ind w:firstLine="284"/>
                              <w:jc w:val="center"/>
                              <w:rPr>
                                <w:rFonts w:ascii="Calibri" w:hAnsi="Calibri" w:cs="Calibri"/>
                                <w:b/>
                                <w:bCs/>
                                <w:color w:val="000000"/>
                                <w:sz w:val="20"/>
                                <w:szCs w:val="22"/>
                              </w:rPr>
                            </w:pPr>
                            <w:r w:rsidRPr="00886710">
                              <w:rPr>
                                <w:rFonts w:ascii="Calibri" w:hAnsi="Calibri" w:cs="Calibri"/>
                                <w:b/>
                                <w:bCs/>
                                <w:color w:val="000000"/>
                                <w:sz w:val="20"/>
                                <w:szCs w:val="22"/>
                              </w:rPr>
                              <w:t>Repayment of interest by sectors of economy</w:t>
                            </w:r>
                          </w:p>
                          <w:p w:rsidR="00461B09" w:rsidRPr="00566CCC" w:rsidRDefault="00461B09"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12184F" id="_x0000_s1032" type="#_x0000_t202" style="position:absolute;left:0;text-align:left;margin-left:197.3pt;margin-top:306.05pt;width:299.6pt;height:4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" stroked="f">
                <v:textbox>
                  <w:txbxContent>
                    <w:p w:rsidR="00461B09" w:rsidRPr="006B66C6" w:rsidRDefault="00461B09" w:rsidP="00147A87">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3</w:t>
                      </w:r>
                    </w:p>
                    <w:p w:rsidR="00461B09" w:rsidRDefault="00461B09" w:rsidP="00895A09">
                      <w:pPr>
                        <w:pStyle w:val="aff8"/>
                        <w:spacing w:before="0" w:beforeAutospacing="0" w:after="0" w:afterAutospacing="0"/>
                        <w:ind w:firstLine="284"/>
                        <w:jc w:val="center"/>
                        <w:rPr>
                          <w:rFonts w:ascii="Calibri" w:hAnsi="Calibri" w:cs="Calibri"/>
                          <w:b/>
                          <w:bCs/>
                          <w:color w:val="000000"/>
                          <w:sz w:val="20"/>
                          <w:szCs w:val="22"/>
                        </w:rPr>
                      </w:pPr>
                      <w:r w:rsidRPr="00886710">
                        <w:rPr>
                          <w:rFonts w:ascii="Calibri" w:hAnsi="Calibri" w:cs="Calibri"/>
                          <w:b/>
                          <w:bCs/>
                          <w:color w:val="000000"/>
                          <w:sz w:val="20"/>
                          <w:szCs w:val="22"/>
                        </w:rPr>
                        <w:t>Repayment of interest by sectors of economy</w:t>
                      </w:r>
                    </w:p>
                    <w:p w:rsidR="00461B09" w:rsidRPr="00566CCC" w:rsidRDefault="00461B09"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w:t>
                      </w:r>
                      <w:proofErr w:type="spellStart"/>
                      <w:r w:rsidRPr="00A302C0">
                        <w:rPr>
                          <w:rFonts w:ascii="Calibri" w:hAnsi="Calibri" w:cs="Calibri"/>
                          <w:color w:val="000000"/>
                          <w:sz w:val="16"/>
                          <w:szCs w:val="22"/>
                        </w:rPr>
                        <w:t>mln</w:t>
                      </w:r>
                      <w:proofErr w:type="spellEnd"/>
                      <w:r w:rsidRPr="00A302C0">
                        <w:rPr>
                          <w:rFonts w:ascii="Calibri" w:hAnsi="Calibri" w:cs="Calibri"/>
                          <w:color w:val="000000"/>
                          <w:sz w:val="16"/>
                          <w:szCs w:val="22"/>
                        </w:rPr>
                        <w:t>. USD)</w:t>
                      </w:r>
                    </w:p>
                  </w:txbxContent>
                </v:textbox>
                <w10:wrap type="square" anchorx="margin" anchory="margin"/>
              </v:shape>
            </w:pict>
          </mc:Fallback>
        </mc:AlternateContent>
      </w:r>
      <w:r w:rsidR="0088004A" w:rsidRPr="00D1550C">
        <w:rPr>
          <w:rFonts w:cs="Calibri"/>
          <w:sz w:val="26"/>
          <w:szCs w:val="26"/>
        </w:rPr>
        <w:t>D</w:t>
      </w:r>
      <w:r w:rsidR="004B548E" w:rsidRPr="00D1550C">
        <w:rPr>
          <w:rFonts w:cs="Calibri"/>
          <w:sz w:val="26"/>
          <w:szCs w:val="26"/>
        </w:rPr>
        <w:t xml:space="preserve">ata </w:t>
      </w:r>
      <w:r w:rsidR="00CA7B83" w:rsidRPr="00D1550C">
        <w:rPr>
          <w:rFonts w:cs="Calibri"/>
          <w:sz w:val="26"/>
          <w:szCs w:val="26"/>
        </w:rPr>
        <w:t>on</w:t>
      </w:r>
      <w:r w:rsidR="004B548E" w:rsidRPr="00D1550C">
        <w:rPr>
          <w:rFonts w:cs="Calibri"/>
          <w:sz w:val="26"/>
          <w:szCs w:val="26"/>
        </w:rPr>
        <w:t xml:space="preserve"> </w:t>
      </w:r>
      <w:r w:rsidR="0088004A" w:rsidRPr="00D1550C">
        <w:rPr>
          <w:rFonts w:cs="Calibri"/>
          <w:sz w:val="26"/>
          <w:szCs w:val="26"/>
        </w:rPr>
        <w:t>disbursments</w:t>
      </w:r>
      <w:r w:rsidR="004B548E" w:rsidRPr="00D1550C">
        <w:rPr>
          <w:rFonts w:cs="Calibri"/>
          <w:sz w:val="26"/>
          <w:szCs w:val="26"/>
        </w:rPr>
        <w:t xml:space="preserve"> and repayment</w:t>
      </w:r>
      <w:r w:rsidR="0088004A" w:rsidRPr="00D1550C">
        <w:rPr>
          <w:rFonts w:cs="Calibri"/>
          <w:sz w:val="26"/>
          <w:szCs w:val="26"/>
        </w:rPr>
        <w:t>s</w:t>
      </w:r>
      <w:r w:rsidR="004B548E" w:rsidRPr="00D1550C">
        <w:rPr>
          <w:rFonts w:cs="Calibri"/>
          <w:sz w:val="26"/>
          <w:szCs w:val="26"/>
        </w:rPr>
        <w:t xml:space="preserve"> of private </w:t>
      </w:r>
      <w:r w:rsidR="00CA7B83" w:rsidRPr="00D1550C">
        <w:rPr>
          <w:rFonts w:cs="Calibri"/>
          <w:sz w:val="26"/>
          <w:szCs w:val="26"/>
        </w:rPr>
        <w:t>external</w:t>
      </w:r>
      <w:r w:rsidR="004B548E" w:rsidRPr="00D1550C">
        <w:rPr>
          <w:rFonts w:cs="Calibri"/>
          <w:sz w:val="26"/>
          <w:szCs w:val="26"/>
        </w:rPr>
        <w:t xml:space="preserve"> debt </w:t>
      </w:r>
      <w:r w:rsidR="00CA7B83" w:rsidRPr="00D1550C">
        <w:rPr>
          <w:rFonts w:cs="Calibri"/>
          <w:sz w:val="26"/>
          <w:szCs w:val="26"/>
        </w:rPr>
        <w:t>in the</w:t>
      </w:r>
      <w:r w:rsidR="004B548E" w:rsidRPr="00D1550C">
        <w:rPr>
          <w:rFonts w:cs="Calibri"/>
          <w:sz w:val="26"/>
          <w:szCs w:val="26"/>
        </w:rPr>
        <w:t xml:space="preserve"> 1</w:t>
      </w:r>
      <w:r w:rsidR="004B548E" w:rsidRPr="00D1550C">
        <w:rPr>
          <w:rFonts w:cs="Calibri"/>
          <w:sz w:val="26"/>
          <w:szCs w:val="26"/>
          <w:vertAlign w:val="superscript"/>
        </w:rPr>
        <w:t>st</w:t>
      </w:r>
      <w:r w:rsidR="004B548E" w:rsidRPr="00D1550C">
        <w:rPr>
          <w:rFonts w:cs="Calibri"/>
          <w:sz w:val="26"/>
          <w:szCs w:val="26"/>
        </w:rPr>
        <w:t xml:space="preserve"> </w:t>
      </w:r>
      <w:r w:rsidR="00D7394E" w:rsidRPr="00D1550C">
        <w:rPr>
          <w:rFonts w:cs="Calibri"/>
          <w:sz w:val="26"/>
          <w:szCs w:val="26"/>
        </w:rPr>
        <w:t>half</w:t>
      </w:r>
      <w:r w:rsidR="004B548E" w:rsidRPr="00D1550C">
        <w:rPr>
          <w:rFonts w:cs="Calibri"/>
          <w:sz w:val="26"/>
          <w:szCs w:val="26"/>
        </w:rPr>
        <w:t xml:space="preserve"> of 2021, as well as forecasts </w:t>
      </w:r>
      <w:r w:rsidR="00CA7B83" w:rsidRPr="00D1550C">
        <w:rPr>
          <w:rFonts w:cs="Calibri"/>
          <w:sz w:val="26"/>
          <w:szCs w:val="26"/>
        </w:rPr>
        <w:t>for</w:t>
      </w:r>
      <w:r w:rsidR="004B548E" w:rsidRPr="00D1550C">
        <w:rPr>
          <w:rFonts w:cs="Calibri"/>
          <w:sz w:val="26"/>
          <w:szCs w:val="26"/>
        </w:rPr>
        <w:t xml:space="preserve"> principal and interest</w:t>
      </w:r>
      <w:r w:rsidR="00CA7B83" w:rsidRPr="00D1550C">
        <w:rPr>
          <w:rFonts w:cs="Calibri"/>
          <w:sz w:val="26"/>
          <w:szCs w:val="26"/>
        </w:rPr>
        <w:t xml:space="preserve"> repayements</w:t>
      </w:r>
      <w:r w:rsidR="004B548E" w:rsidRPr="00D1550C">
        <w:rPr>
          <w:rFonts w:cs="Calibri"/>
          <w:sz w:val="26"/>
          <w:szCs w:val="26"/>
        </w:rPr>
        <w:t xml:space="preserve"> on private external debt by type of creditors and borrowers in accordance with international reporting system</w:t>
      </w:r>
      <w:r w:rsidR="0088004A" w:rsidRPr="00D1550C">
        <w:rPr>
          <w:rFonts w:cs="Calibri"/>
          <w:sz w:val="26"/>
          <w:szCs w:val="26"/>
        </w:rPr>
        <w:t xml:space="preserve"> </w:t>
      </w:r>
      <w:r w:rsidR="00CA7B83" w:rsidRPr="00D1550C">
        <w:rPr>
          <w:rFonts w:cs="Calibri"/>
          <w:sz w:val="26"/>
          <w:szCs w:val="26"/>
        </w:rPr>
        <w:t xml:space="preserve">are </w:t>
      </w:r>
      <w:r w:rsidR="0088004A" w:rsidRPr="00D1550C">
        <w:rPr>
          <w:rFonts w:cs="Calibri"/>
          <w:sz w:val="26"/>
          <w:szCs w:val="26"/>
        </w:rPr>
        <w:t>present</w:t>
      </w:r>
      <w:r w:rsidR="00CA7B83" w:rsidRPr="00D1550C">
        <w:rPr>
          <w:rFonts w:cs="Calibri"/>
          <w:sz w:val="26"/>
          <w:szCs w:val="26"/>
        </w:rPr>
        <w:t>ed in</w:t>
      </w:r>
      <w:r w:rsidR="0088004A" w:rsidRPr="00D1550C">
        <w:rPr>
          <w:rFonts w:cs="Calibri"/>
          <w:i/>
          <w:sz w:val="26"/>
          <w:szCs w:val="26"/>
        </w:rPr>
        <w:t xml:space="preserve"> </w:t>
      </w:r>
      <w:r w:rsidR="00CA7B83" w:rsidRPr="008040E0">
        <w:rPr>
          <w:rFonts w:cs="Calibri"/>
          <w:sz w:val="26"/>
          <w:szCs w:val="26"/>
        </w:rPr>
        <w:t>a</w:t>
      </w:r>
      <w:r w:rsidR="0088004A" w:rsidRPr="008040E0">
        <w:rPr>
          <w:rFonts w:cs="Calibri"/>
          <w:sz w:val="26"/>
          <w:szCs w:val="26"/>
        </w:rPr>
        <w:t>ppendices 14.1–14.8</w:t>
      </w:r>
    </w:p>
    <w:p w:rsidR="00BE0704" w:rsidRPr="00D1550C" w:rsidRDefault="00003E6F" w:rsidP="007E6EBB">
      <w:pPr>
        <w:spacing w:before="120" w:after="120" w:line="288" w:lineRule="auto"/>
        <w:ind w:firstLine="709"/>
        <w:jc w:val="both"/>
        <w:rPr>
          <w:sz w:val="28"/>
          <w:szCs w:val="28"/>
        </w:rPr>
      </w:pPr>
      <w:r w:rsidRPr="00D1550C">
        <w:rPr>
          <w:noProof/>
          <w:lang w:val="ru-RU"/>
        </w:rPr>
        <w:drawing>
          <wp:anchor distT="0" distB="0" distL="114300" distR="114300" simplePos="0" relativeHeight="251717632" behindDoc="0" locked="0" layoutInCell="1" allowOverlap="1" wp14:anchorId="78693736" wp14:editId="77781CEF">
            <wp:simplePos x="0" y="0"/>
            <wp:positionH relativeFrom="column">
              <wp:posOffset>2552175</wp:posOffset>
            </wp:positionH>
            <wp:positionV relativeFrom="paragraph">
              <wp:posOffset>118193</wp:posOffset>
            </wp:positionV>
            <wp:extent cx="3863340" cy="3291840"/>
            <wp:effectExtent l="0" t="0" r="3810" b="3810"/>
            <wp:wrapSquare wrapText="bothSides"/>
            <wp:docPr id="37" name="Диаграмма 37">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F024A9" w:rsidRPr="00D1550C" w:rsidRDefault="00F024A9" w:rsidP="007E6EBB">
      <w:pPr>
        <w:spacing w:before="120" w:after="120" w:line="288" w:lineRule="auto"/>
        <w:ind w:firstLine="709"/>
        <w:jc w:val="both"/>
        <w:rPr>
          <w:sz w:val="28"/>
          <w:szCs w:val="28"/>
        </w:rPr>
      </w:pPr>
    </w:p>
    <w:p w:rsidR="00F024A9" w:rsidRPr="00D1550C" w:rsidRDefault="00F024A9" w:rsidP="007E6EBB">
      <w:pPr>
        <w:spacing w:before="120" w:after="120" w:line="288" w:lineRule="auto"/>
        <w:ind w:firstLine="709"/>
        <w:jc w:val="both"/>
        <w:rPr>
          <w:sz w:val="28"/>
          <w:szCs w:val="28"/>
        </w:rPr>
      </w:pPr>
    </w:p>
    <w:p w:rsidR="00F024A9" w:rsidRPr="00D1550C" w:rsidRDefault="00F024A9" w:rsidP="007E6EBB">
      <w:pPr>
        <w:spacing w:before="120" w:after="120" w:line="288" w:lineRule="auto"/>
        <w:ind w:firstLine="709"/>
        <w:jc w:val="both"/>
        <w:rPr>
          <w:sz w:val="28"/>
          <w:szCs w:val="28"/>
        </w:rPr>
      </w:pPr>
    </w:p>
    <w:p w:rsidR="00F724F9" w:rsidRPr="00D1550C" w:rsidRDefault="00F724F9">
      <w:pPr>
        <w:rPr>
          <w:rFonts w:cs="Arial"/>
        </w:rPr>
      </w:pPr>
      <w:r w:rsidRPr="00D1550C">
        <w:rPr>
          <w:rFonts w:cs="Arial"/>
        </w:rPr>
        <w:br w:type="page"/>
      </w:r>
    </w:p>
    <w:tbl>
      <w:tblPr>
        <w:tblStyle w:val="ae"/>
        <w:tblW w:w="1005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none" w:sz="0" w:space="0" w:color="auto"/>
          <w:insideV w:val="none" w:sz="0" w:space="0" w:color="auto"/>
        </w:tblBorders>
        <w:tblLook w:val="04A0" w:firstRow="1" w:lastRow="0" w:firstColumn="1" w:lastColumn="0" w:noHBand="0" w:noVBand="1"/>
      </w:tblPr>
      <w:tblGrid>
        <w:gridCol w:w="10050"/>
      </w:tblGrid>
      <w:tr w:rsidR="00FE35E9" w:rsidRPr="00D1550C" w:rsidTr="008040E0">
        <w:tc>
          <w:tcPr>
            <w:tcW w:w="10050" w:type="dxa"/>
          </w:tcPr>
          <w:p w:rsidR="00FE35E9" w:rsidRPr="00D1550C" w:rsidRDefault="00FE35E9" w:rsidP="00E87ACA">
            <w:pPr>
              <w:jc w:val="right"/>
              <w:rPr>
                <w:rFonts w:asciiTheme="minorHAnsi" w:hAnsiTheme="minorHAnsi" w:cstheme="minorHAnsi"/>
                <w:highlight w:val="yellow"/>
              </w:rPr>
            </w:pPr>
          </w:p>
          <w:p w:rsidR="00FE35E9" w:rsidRPr="00D1550C" w:rsidRDefault="00FE35E9" w:rsidP="00E87ACA">
            <w:pPr>
              <w:rPr>
                <w:rFonts w:asciiTheme="minorHAnsi" w:hAnsiTheme="minorHAnsi" w:cstheme="minorHAnsi"/>
                <w:i/>
              </w:rPr>
            </w:pPr>
            <w:r w:rsidRPr="00D1550C">
              <w:rPr>
                <w:rFonts w:asciiTheme="minorHAnsi" w:hAnsiTheme="minorHAnsi" w:cstheme="minorHAnsi"/>
                <w:b/>
              </w:rPr>
              <w:t>Insert 2. Information about gross external debt.</w:t>
            </w:r>
            <w:r w:rsidRPr="00D1550C">
              <w:rPr>
                <w:rStyle w:val="a9"/>
                <w:rFonts w:asciiTheme="minorHAnsi" w:hAnsiTheme="minorHAnsi" w:cstheme="minorHAnsi"/>
              </w:rPr>
              <w:footnoteReference w:id="12"/>
            </w:r>
          </w:p>
          <w:p w:rsidR="00FE35E9" w:rsidRPr="00D1550C" w:rsidRDefault="00FE35E9" w:rsidP="00E87ACA">
            <w:pPr>
              <w:jc w:val="center"/>
              <w:rPr>
                <w:rFonts w:asciiTheme="minorHAnsi" w:hAnsiTheme="minorHAnsi" w:cstheme="minorHAnsi"/>
              </w:rPr>
            </w:pPr>
          </w:p>
          <w:p w:rsidR="00FE35E9" w:rsidRPr="00D1550C" w:rsidRDefault="00FE35E9" w:rsidP="00E87ACA">
            <w:pPr>
              <w:ind w:left="22" w:firstLine="567"/>
              <w:jc w:val="both"/>
              <w:rPr>
                <w:rFonts w:asciiTheme="minorHAnsi" w:hAnsiTheme="minorHAnsi" w:cstheme="minorHAnsi"/>
                <w:i/>
                <w:sz w:val="22"/>
                <w:szCs w:val="22"/>
              </w:rPr>
            </w:pPr>
            <w:r w:rsidRPr="00D1550C">
              <w:rPr>
                <w:rFonts w:asciiTheme="minorHAnsi" w:hAnsiTheme="minorHAnsi" w:cstheme="minorHAnsi"/>
                <w:i/>
                <w:sz w:val="22"/>
                <w:szCs w:val="22"/>
              </w:rPr>
              <w:t xml:space="preserve">This section presents data in line with quarterly external debt tables of IMF’s Special data dissemination standard. During compilation of tables liabilities to non-residents in all instruments are taken into account. </w:t>
            </w:r>
            <w:r w:rsidRPr="00D1550C">
              <w:rPr>
                <w:rFonts w:asciiTheme="minorHAnsi" w:hAnsiTheme="minorHAnsi" w:cstheme="minorHAnsi"/>
                <w:i/>
                <w:sz w:val="22"/>
                <w:szCs w:val="22"/>
              </w:rPr>
              <w:br/>
              <w:t>The sectorial breakdown is based on the external debt servicing sector.</w:t>
            </w:r>
          </w:p>
          <w:p w:rsidR="00FE35E9" w:rsidRPr="00D1550C" w:rsidRDefault="00FE35E9" w:rsidP="00E87ACA">
            <w:pPr>
              <w:ind w:left="587" w:right="723"/>
              <w:jc w:val="both"/>
              <w:rPr>
                <w:rFonts w:asciiTheme="minorHAnsi" w:hAnsiTheme="minorHAnsi" w:cstheme="minorHAnsi"/>
                <w:sz w:val="22"/>
                <w:szCs w:val="22"/>
              </w:rPr>
            </w:pPr>
          </w:p>
          <w:p w:rsidR="00FE35E9" w:rsidRPr="00D1550C" w:rsidRDefault="00FE35E9" w:rsidP="00E87ACA">
            <w:pPr>
              <w:ind w:firstLine="741"/>
              <w:jc w:val="both"/>
              <w:rPr>
                <w:rFonts w:cs="Calibri"/>
                <w:sz w:val="26"/>
                <w:szCs w:val="26"/>
              </w:rPr>
            </w:pPr>
            <w:r w:rsidRPr="00D1550C">
              <w:rPr>
                <w:rFonts w:cs="Calibri"/>
                <w:sz w:val="26"/>
                <w:szCs w:val="26"/>
              </w:rPr>
              <w:t>The volume of gross external debt of the Republic of Uzbekistan</w:t>
            </w:r>
            <w:r w:rsidR="00E87ACA" w:rsidRPr="00D1550C">
              <w:rPr>
                <w:rFonts w:cs="Calibri"/>
                <w:sz w:val="26"/>
                <w:szCs w:val="26"/>
              </w:rPr>
              <w:t xml:space="preserve"> increased by 7% </w:t>
            </w:r>
            <w:r w:rsidR="00E87ACA" w:rsidRPr="00D1550C">
              <w:rPr>
                <w:rFonts w:cs="Calibri"/>
                <w:sz w:val="26"/>
                <w:szCs w:val="26"/>
              </w:rPr>
              <w:br/>
              <w:t>or 2.5 billion and</w:t>
            </w:r>
            <w:r w:rsidRPr="00D1550C">
              <w:rPr>
                <w:rFonts w:cs="Calibri"/>
                <w:sz w:val="26"/>
                <w:szCs w:val="26"/>
              </w:rPr>
              <w:t xml:space="preserve"> by the 1 July, 2021</w:t>
            </w:r>
            <w:r w:rsidR="00E87ACA" w:rsidRPr="00D1550C">
              <w:rPr>
                <w:rFonts w:cs="Calibri"/>
                <w:sz w:val="26"/>
                <w:szCs w:val="26"/>
              </w:rPr>
              <w:t>,</w:t>
            </w:r>
            <w:r w:rsidRPr="00D1550C">
              <w:rPr>
                <w:rFonts w:cs="Calibri"/>
                <w:sz w:val="26"/>
                <w:szCs w:val="26"/>
              </w:rPr>
              <w:t xml:space="preserve"> growth for considered period amounted to </w:t>
            </w:r>
            <w:r w:rsidR="0013598F">
              <w:rPr>
                <w:rFonts w:cs="Calibri"/>
                <w:sz w:val="26"/>
                <w:szCs w:val="26"/>
              </w:rPr>
              <w:br/>
            </w:r>
            <w:r w:rsidRPr="00D1550C">
              <w:rPr>
                <w:rFonts w:cs="Calibri"/>
                <w:sz w:val="26"/>
                <w:szCs w:val="26"/>
              </w:rPr>
              <w:t xml:space="preserve">USD </w:t>
            </w:r>
            <w:r w:rsidR="00E87ACA" w:rsidRPr="00D1550C">
              <w:rPr>
                <w:rFonts w:cs="Calibri"/>
                <w:sz w:val="26"/>
                <w:szCs w:val="26"/>
              </w:rPr>
              <w:t>38</w:t>
            </w:r>
            <w:r w:rsidR="0013598F">
              <w:rPr>
                <w:rFonts w:cs="Calibri"/>
                <w:sz w:val="26"/>
                <w:szCs w:val="26"/>
              </w:rPr>
              <w:t>.</w:t>
            </w:r>
            <w:r w:rsidRPr="00D1550C">
              <w:rPr>
                <w:rFonts w:cs="Calibri"/>
                <w:sz w:val="26"/>
                <w:szCs w:val="26"/>
              </w:rPr>
              <w:t xml:space="preserve">9 </w:t>
            </w:r>
            <w:r w:rsidR="00E87ACA" w:rsidRPr="00D1550C">
              <w:rPr>
                <w:rFonts w:cs="Calibri"/>
                <w:sz w:val="26"/>
                <w:szCs w:val="26"/>
              </w:rPr>
              <w:t>b</w:t>
            </w:r>
            <w:r w:rsidRPr="00D1550C">
              <w:rPr>
                <w:rFonts w:cs="Calibri"/>
                <w:sz w:val="26"/>
                <w:szCs w:val="26"/>
              </w:rPr>
              <w:t>illion</w:t>
            </w:r>
            <w:r w:rsidR="0013598F">
              <w:rPr>
                <w:rFonts w:cs="Calibri"/>
                <w:sz w:val="26"/>
                <w:szCs w:val="26"/>
              </w:rPr>
              <w:t>.</w:t>
            </w:r>
          </w:p>
          <w:p w:rsidR="00FE35E9" w:rsidRPr="00D1550C" w:rsidRDefault="00FE35E9" w:rsidP="00E87ACA">
            <w:pPr>
              <w:ind w:firstLine="741"/>
              <w:jc w:val="right"/>
              <w:rPr>
                <w:rFonts w:asciiTheme="minorHAnsi" w:hAnsiTheme="minorHAnsi" w:cstheme="minorHAnsi"/>
              </w:rPr>
            </w:pPr>
          </w:p>
          <w:p w:rsidR="00FE35E9" w:rsidRPr="00D1550C" w:rsidRDefault="00FE35E9" w:rsidP="00E87ACA">
            <w:pPr>
              <w:ind w:firstLine="741"/>
              <w:jc w:val="right"/>
              <w:rPr>
                <w:rFonts w:asciiTheme="minorHAnsi" w:hAnsiTheme="minorHAnsi" w:cstheme="minorHAnsi"/>
              </w:rPr>
            </w:pPr>
            <w:r w:rsidRPr="00D1550C">
              <w:rPr>
                <w:rFonts w:asciiTheme="minorHAnsi" w:hAnsiTheme="minorHAnsi" w:cstheme="minorHAnsi"/>
              </w:rPr>
              <w:t xml:space="preserve"> Table 1</w:t>
            </w:r>
          </w:p>
          <w:p w:rsidR="00FE35E9" w:rsidRPr="00D1550C" w:rsidRDefault="00FE35E9" w:rsidP="00E87ACA">
            <w:pPr>
              <w:jc w:val="center"/>
              <w:rPr>
                <w:rFonts w:asciiTheme="minorHAnsi" w:hAnsiTheme="minorHAnsi" w:cstheme="minorHAnsi"/>
                <w:i/>
                <w:color w:val="000000"/>
                <w:sz w:val="20"/>
                <w:szCs w:val="20"/>
              </w:rPr>
            </w:pPr>
            <w:r w:rsidRPr="00D1550C">
              <w:rPr>
                <w:rFonts w:asciiTheme="minorHAnsi" w:hAnsiTheme="minorHAnsi" w:cstheme="minorHAnsi"/>
                <w:b/>
              </w:rPr>
              <w:t>Structure and change gross external debt by sectors of economy</w:t>
            </w:r>
          </w:p>
          <w:p w:rsidR="00FE35E9" w:rsidRPr="00D1550C" w:rsidRDefault="00FE35E9" w:rsidP="00E87ACA">
            <w:pPr>
              <w:pStyle w:val="aff8"/>
              <w:spacing w:before="0" w:beforeAutospacing="0" w:after="0" w:afterAutospacing="0"/>
              <w:ind w:firstLine="8385"/>
              <w:jc w:val="center"/>
              <w:rPr>
                <w:rFonts w:asciiTheme="minorHAnsi" w:hAnsiTheme="minorHAnsi" w:cstheme="minorHAnsi"/>
                <w:i/>
                <w:sz w:val="20"/>
                <w:szCs w:val="20"/>
              </w:rPr>
            </w:pPr>
            <w:r w:rsidRPr="00D1550C">
              <w:rPr>
                <w:rFonts w:asciiTheme="minorHAnsi" w:hAnsiTheme="minorHAnsi" w:cstheme="minorHAnsi"/>
                <w:i/>
                <w:color w:val="000000"/>
                <w:sz w:val="20"/>
                <w:szCs w:val="20"/>
              </w:rPr>
              <w:t>(mln. doll.)</w:t>
            </w:r>
          </w:p>
          <w:tbl>
            <w:tblPr>
              <w:tblW w:w="960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4"/>
              <w:gridCol w:w="1342"/>
              <w:gridCol w:w="1342"/>
              <w:gridCol w:w="1229"/>
              <w:gridCol w:w="1123"/>
              <w:gridCol w:w="1331"/>
            </w:tblGrid>
            <w:tr w:rsidR="00FE35E9" w:rsidRPr="00D1550C" w:rsidTr="00E87ACA">
              <w:trPr>
                <w:trHeight w:val="244"/>
              </w:trPr>
              <w:tc>
                <w:tcPr>
                  <w:tcW w:w="3234" w:type="dxa"/>
                  <w:vMerge w:val="restart"/>
                  <w:shd w:val="clear" w:color="auto" w:fill="auto"/>
                  <w:vAlign w:val="center"/>
                  <w:hideMark/>
                </w:tcPr>
                <w:p w:rsidR="00FE35E9" w:rsidRPr="00D1550C" w:rsidRDefault="00FE35E9" w:rsidP="00E87ACA">
                  <w:pPr>
                    <w:rPr>
                      <w:rFonts w:asciiTheme="minorHAnsi" w:hAnsiTheme="minorHAnsi" w:cstheme="minorHAnsi"/>
                      <w:color w:val="000000"/>
                      <w:sz w:val="20"/>
                      <w:szCs w:val="20"/>
                    </w:rPr>
                  </w:pPr>
                </w:p>
              </w:tc>
              <w:tc>
                <w:tcPr>
                  <w:tcW w:w="1342" w:type="dxa"/>
                  <w:vMerge w:val="restart"/>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01.01.2020</w:t>
                  </w:r>
                </w:p>
              </w:tc>
              <w:tc>
                <w:tcPr>
                  <w:tcW w:w="1342" w:type="dxa"/>
                  <w:vMerge w:val="restart"/>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01.01.2021</w:t>
                  </w:r>
                </w:p>
              </w:tc>
              <w:tc>
                <w:tcPr>
                  <w:tcW w:w="2352" w:type="dxa"/>
                  <w:gridSpan w:val="2"/>
                  <w:vMerge w:val="restart"/>
                  <w:shd w:val="clear" w:color="auto" w:fill="auto"/>
                  <w:vAlign w:val="center"/>
                  <w:hideMark/>
                </w:tcPr>
                <w:p w:rsidR="00FE35E9" w:rsidRPr="00D1550C" w:rsidRDefault="00FE35E9" w:rsidP="000A225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w:t>
                  </w:r>
                  <w:r w:rsidR="000A2250" w:rsidRPr="00D1550C">
                    <w:rPr>
                      <w:rFonts w:asciiTheme="minorHAnsi" w:hAnsiTheme="minorHAnsi" w:cstheme="minorHAnsi"/>
                      <w:color w:val="000000"/>
                      <w:sz w:val="20"/>
                      <w:szCs w:val="20"/>
                    </w:rPr>
                    <w:t>7</w:t>
                  </w:r>
                  <w:r w:rsidRPr="00D1550C">
                    <w:rPr>
                      <w:rFonts w:asciiTheme="minorHAnsi" w:hAnsiTheme="minorHAnsi" w:cstheme="minorHAnsi"/>
                      <w:color w:val="000000"/>
                      <w:sz w:val="20"/>
                      <w:szCs w:val="20"/>
                    </w:rPr>
                    <w:t>.2021</w:t>
                  </w:r>
                </w:p>
              </w:tc>
              <w:tc>
                <w:tcPr>
                  <w:tcW w:w="1331" w:type="dxa"/>
                  <w:vMerge w:val="restart"/>
                  <w:shd w:val="clear" w:color="auto" w:fill="auto"/>
                  <w:vAlign w:val="center"/>
                  <w:hideMark/>
                </w:tcPr>
                <w:p w:rsidR="00FE35E9" w:rsidRPr="00D1550C" w:rsidRDefault="000A2250" w:rsidP="000A225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Change in the 1</w:t>
                  </w:r>
                  <w:r w:rsidRPr="00D1550C">
                    <w:rPr>
                      <w:rFonts w:asciiTheme="minorHAnsi" w:hAnsiTheme="minorHAnsi" w:cstheme="minorHAnsi"/>
                      <w:color w:val="000000"/>
                      <w:sz w:val="20"/>
                      <w:szCs w:val="20"/>
                      <w:vertAlign w:val="superscript"/>
                    </w:rPr>
                    <w:t>st</w:t>
                  </w:r>
                  <w:r w:rsidRPr="00D1550C">
                    <w:rPr>
                      <w:rFonts w:asciiTheme="minorHAnsi" w:hAnsiTheme="minorHAnsi" w:cstheme="minorHAnsi"/>
                      <w:color w:val="000000"/>
                      <w:sz w:val="20"/>
                      <w:szCs w:val="20"/>
                    </w:rPr>
                    <w:t xml:space="preserve"> half </w:t>
                  </w:r>
                  <w:r w:rsidR="00FE35E9" w:rsidRPr="00D1550C">
                    <w:rPr>
                      <w:rFonts w:asciiTheme="minorHAnsi" w:hAnsiTheme="minorHAnsi" w:cstheme="minorHAnsi"/>
                      <w:color w:val="000000"/>
                      <w:sz w:val="20"/>
                      <w:szCs w:val="20"/>
                    </w:rPr>
                    <w:t>of 2021</w:t>
                  </w:r>
                </w:p>
              </w:tc>
            </w:tr>
            <w:tr w:rsidR="00FE35E9" w:rsidRPr="00D1550C" w:rsidTr="00E87ACA">
              <w:trPr>
                <w:trHeight w:val="269"/>
              </w:trPr>
              <w:tc>
                <w:tcPr>
                  <w:tcW w:w="3234"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2352" w:type="dxa"/>
                  <w:gridSpan w:val="2"/>
                  <w:vMerge/>
                  <w:vAlign w:val="center"/>
                  <w:hideMark/>
                </w:tcPr>
                <w:p w:rsidR="00FE35E9" w:rsidRPr="00D1550C" w:rsidRDefault="00FE35E9" w:rsidP="00E87ACA">
                  <w:pPr>
                    <w:rPr>
                      <w:rFonts w:asciiTheme="minorHAnsi" w:hAnsiTheme="minorHAnsi" w:cstheme="minorHAnsi"/>
                      <w:color w:val="000000"/>
                      <w:sz w:val="22"/>
                      <w:szCs w:val="22"/>
                    </w:rPr>
                  </w:pPr>
                </w:p>
              </w:tc>
              <w:tc>
                <w:tcPr>
                  <w:tcW w:w="1331" w:type="dxa"/>
                  <w:vMerge/>
                  <w:vAlign w:val="center"/>
                  <w:hideMark/>
                </w:tcPr>
                <w:p w:rsidR="00FE35E9" w:rsidRPr="00D1550C" w:rsidRDefault="00FE35E9" w:rsidP="00E87ACA">
                  <w:pPr>
                    <w:rPr>
                      <w:rFonts w:asciiTheme="minorHAnsi" w:hAnsiTheme="minorHAnsi" w:cstheme="minorHAnsi"/>
                      <w:color w:val="000000"/>
                      <w:sz w:val="22"/>
                      <w:szCs w:val="22"/>
                    </w:rPr>
                  </w:pPr>
                </w:p>
              </w:tc>
            </w:tr>
            <w:tr w:rsidR="00FE35E9" w:rsidRPr="00D1550C" w:rsidTr="00E87ACA">
              <w:trPr>
                <w:trHeight w:val="70"/>
              </w:trPr>
              <w:tc>
                <w:tcPr>
                  <w:tcW w:w="3234"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229"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value</w:t>
                  </w:r>
                </w:p>
              </w:tc>
              <w:tc>
                <w:tcPr>
                  <w:tcW w:w="1123"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share</w:t>
                  </w:r>
                </w:p>
              </w:tc>
              <w:tc>
                <w:tcPr>
                  <w:tcW w:w="1331" w:type="dxa"/>
                  <w:vMerge/>
                  <w:vAlign w:val="center"/>
                  <w:hideMark/>
                </w:tcPr>
                <w:p w:rsidR="00FE35E9" w:rsidRPr="00D1550C" w:rsidRDefault="00FE35E9" w:rsidP="00E87ACA">
                  <w:pPr>
                    <w:rPr>
                      <w:rFonts w:asciiTheme="minorHAnsi" w:hAnsiTheme="minorHAnsi" w:cstheme="minorHAnsi"/>
                      <w:color w:val="000000"/>
                      <w:sz w:val="22"/>
                      <w:szCs w:val="22"/>
                    </w:rPr>
                  </w:pPr>
                </w:p>
              </w:tc>
            </w:tr>
            <w:tr w:rsidR="000A2250" w:rsidRPr="00D1550C" w:rsidTr="00E87ACA">
              <w:trPr>
                <w:trHeight w:val="145"/>
              </w:trPr>
              <w:tc>
                <w:tcPr>
                  <w:tcW w:w="3234" w:type="dxa"/>
                  <w:shd w:val="clear" w:color="auto" w:fill="9CC2E5" w:themeFill="accent1" w:themeFillTint="99"/>
                  <w:vAlign w:val="center"/>
                  <w:hideMark/>
                </w:tcPr>
                <w:p w:rsidR="000A2250" w:rsidRPr="0013598F" w:rsidRDefault="000A2250" w:rsidP="000A2250">
                  <w:pPr>
                    <w:rPr>
                      <w:rFonts w:asciiTheme="minorHAnsi" w:hAnsiTheme="minorHAnsi" w:cstheme="minorHAnsi"/>
                      <w:b/>
                      <w:color w:val="000000"/>
                      <w:sz w:val="20"/>
                      <w:szCs w:val="20"/>
                    </w:rPr>
                  </w:pPr>
                  <w:r w:rsidRPr="0013598F">
                    <w:rPr>
                      <w:rFonts w:asciiTheme="minorHAnsi" w:hAnsiTheme="minorHAnsi" w:cstheme="minorHAnsi"/>
                      <w:b/>
                      <w:sz w:val="20"/>
                      <w:szCs w:val="20"/>
                    </w:rPr>
                    <w:t>Gross external debt</w:t>
                  </w:r>
                </w:p>
              </w:tc>
              <w:tc>
                <w:tcPr>
                  <w:tcW w:w="1342" w:type="dxa"/>
                  <w:shd w:val="clear" w:color="auto" w:fill="9CC2E5" w:themeFill="accent1" w:themeFillTint="99"/>
                  <w:vAlign w:val="center"/>
                  <w:hideMark/>
                </w:tcPr>
                <w:p w:rsidR="000A2250" w:rsidRPr="0013598F" w:rsidRDefault="000A2250" w:rsidP="000A2250">
                  <w:pPr>
                    <w:jc w:val="center"/>
                    <w:rPr>
                      <w:rFonts w:asciiTheme="minorHAnsi" w:hAnsiTheme="minorHAnsi" w:cstheme="minorHAnsi"/>
                      <w:b/>
                      <w:bCs/>
                      <w:color w:val="000000"/>
                      <w:sz w:val="20"/>
                      <w:szCs w:val="20"/>
                    </w:rPr>
                  </w:pPr>
                  <w:r w:rsidRPr="0013598F">
                    <w:rPr>
                      <w:b/>
                      <w:sz w:val="20"/>
                      <w:szCs w:val="20"/>
                    </w:rPr>
                    <w:t>26 331,0</w:t>
                  </w:r>
                </w:p>
              </w:tc>
              <w:tc>
                <w:tcPr>
                  <w:tcW w:w="1342" w:type="dxa"/>
                  <w:shd w:val="clear" w:color="auto" w:fill="9CC2E5" w:themeFill="accent1" w:themeFillTint="99"/>
                  <w:vAlign w:val="center"/>
                  <w:hideMark/>
                </w:tcPr>
                <w:p w:rsidR="000A2250" w:rsidRPr="0013598F" w:rsidRDefault="000A2250" w:rsidP="000A2250">
                  <w:pPr>
                    <w:jc w:val="center"/>
                    <w:rPr>
                      <w:rFonts w:asciiTheme="minorHAnsi" w:hAnsiTheme="minorHAnsi" w:cstheme="minorHAnsi"/>
                      <w:b/>
                      <w:bCs/>
                      <w:color w:val="000000"/>
                      <w:sz w:val="20"/>
                      <w:szCs w:val="20"/>
                    </w:rPr>
                  </w:pPr>
                  <w:r w:rsidRPr="0013598F">
                    <w:rPr>
                      <w:b/>
                      <w:sz w:val="20"/>
                      <w:szCs w:val="20"/>
                    </w:rPr>
                    <w:t>36 328,8</w:t>
                  </w:r>
                </w:p>
              </w:tc>
              <w:tc>
                <w:tcPr>
                  <w:tcW w:w="1229" w:type="dxa"/>
                  <w:shd w:val="clear" w:color="auto" w:fill="9CC2E5" w:themeFill="accent1" w:themeFillTint="99"/>
                  <w:vAlign w:val="center"/>
                  <w:hideMark/>
                </w:tcPr>
                <w:p w:rsidR="000A2250" w:rsidRPr="0013598F" w:rsidRDefault="000A2250" w:rsidP="000A2250">
                  <w:pPr>
                    <w:jc w:val="center"/>
                    <w:rPr>
                      <w:b/>
                      <w:sz w:val="20"/>
                      <w:szCs w:val="20"/>
                    </w:rPr>
                  </w:pPr>
                  <w:r w:rsidRPr="0013598F">
                    <w:rPr>
                      <w:b/>
                      <w:sz w:val="20"/>
                      <w:szCs w:val="20"/>
                    </w:rPr>
                    <w:t>38 859,5</w:t>
                  </w:r>
                </w:p>
              </w:tc>
              <w:tc>
                <w:tcPr>
                  <w:tcW w:w="1123" w:type="dxa"/>
                  <w:shd w:val="clear" w:color="auto" w:fill="9CC2E5" w:themeFill="accent1" w:themeFillTint="99"/>
                  <w:vAlign w:val="center"/>
                  <w:hideMark/>
                </w:tcPr>
                <w:p w:rsidR="000A2250" w:rsidRPr="0013598F" w:rsidRDefault="000A2250" w:rsidP="000A2250">
                  <w:pPr>
                    <w:jc w:val="center"/>
                    <w:rPr>
                      <w:b/>
                      <w:sz w:val="20"/>
                      <w:szCs w:val="20"/>
                    </w:rPr>
                  </w:pPr>
                  <w:r w:rsidRPr="0013598F">
                    <w:rPr>
                      <w:b/>
                      <w:sz w:val="20"/>
                      <w:szCs w:val="20"/>
                    </w:rPr>
                    <w:t>100%</w:t>
                  </w:r>
                </w:p>
              </w:tc>
              <w:tc>
                <w:tcPr>
                  <w:tcW w:w="1331" w:type="dxa"/>
                  <w:shd w:val="clear" w:color="auto" w:fill="9CC2E5" w:themeFill="accent1" w:themeFillTint="99"/>
                  <w:vAlign w:val="center"/>
                  <w:hideMark/>
                </w:tcPr>
                <w:p w:rsidR="000A2250" w:rsidRPr="0013598F" w:rsidRDefault="000A2250" w:rsidP="000A2250">
                  <w:pPr>
                    <w:jc w:val="center"/>
                    <w:rPr>
                      <w:b/>
                      <w:sz w:val="20"/>
                      <w:szCs w:val="20"/>
                    </w:rPr>
                  </w:pPr>
                  <w:r w:rsidRPr="0013598F">
                    <w:rPr>
                      <w:b/>
                      <w:sz w:val="20"/>
                      <w:szCs w:val="20"/>
                    </w:rPr>
                    <w:t>2 530,7</w:t>
                  </w:r>
                </w:p>
              </w:tc>
            </w:tr>
            <w:tr w:rsidR="000A2250" w:rsidRPr="00D1550C" w:rsidTr="00E87ACA">
              <w:trPr>
                <w:trHeight w:val="178"/>
              </w:trPr>
              <w:tc>
                <w:tcPr>
                  <w:tcW w:w="3234" w:type="dxa"/>
                  <w:shd w:val="clear" w:color="auto" w:fill="auto"/>
                  <w:vAlign w:val="center"/>
                  <w:hideMark/>
                </w:tcPr>
                <w:p w:rsidR="000A2250" w:rsidRPr="0013598F" w:rsidRDefault="000A2250" w:rsidP="000A2250">
                  <w:pPr>
                    <w:rPr>
                      <w:rFonts w:asciiTheme="minorHAnsi" w:hAnsiTheme="minorHAnsi" w:cstheme="minorHAnsi"/>
                      <w:color w:val="000000"/>
                      <w:sz w:val="20"/>
                      <w:szCs w:val="20"/>
                    </w:rPr>
                  </w:pPr>
                  <w:r w:rsidRPr="0013598F">
                    <w:rPr>
                      <w:rFonts w:asciiTheme="minorHAnsi" w:hAnsiTheme="minorHAnsi" w:cstheme="minorHAnsi"/>
                      <w:color w:val="000000"/>
                      <w:sz w:val="20"/>
                      <w:szCs w:val="20"/>
                    </w:rPr>
                    <w:t>General government</w:t>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11 742,5</w:t>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16 141,2</w:t>
                  </w:r>
                </w:p>
              </w:tc>
              <w:tc>
                <w:tcPr>
                  <w:tcW w:w="1229" w:type="dxa"/>
                  <w:shd w:val="clear" w:color="auto" w:fill="auto"/>
                  <w:vAlign w:val="center"/>
                  <w:hideMark/>
                </w:tcPr>
                <w:p w:rsidR="000A2250" w:rsidRPr="0013598F" w:rsidRDefault="000A2250" w:rsidP="000A2250">
                  <w:pPr>
                    <w:jc w:val="center"/>
                    <w:rPr>
                      <w:sz w:val="20"/>
                      <w:szCs w:val="20"/>
                    </w:rPr>
                  </w:pPr>
                  <w:r w:rsidRPr="0013598F">
                    <w:rPr>
                      <w:sz w:val="20"/>
                      <w:szCs w:val="20"/>
                    </w:rPr>
                    <w:t>16 388,1</w:t>
                  </w:r>
                </w:p>
              </w:tc>
              <w:tc>
                <w:tcPr>
                  <w:tcW w:w="1123" w:type="dxa"/>
                  <w:shd w:val="clear" w:color="auto" w:fill="auto"/>
                  <w:vAlign w:val="center"/>
                  <w:hideMark/>
                </w:tcPr>
                <w:p w:rsidR="000A2250" w:rsidRPr="0013598F" w:rsidRDefault="000A2250" w:rsidP="000A2250">
                  <w:pPr>
                    <w:jc w:val="center"/>
                    <w:rPr>
                      <w:sz w:val="20"/>
                      <w:szCs w:val="20"/>
                    </w:rPr>
                  </w:pPr>
                  <w:r w:rsidRPr="0013598F">
                    <w:rPr>
                      <w:sz w:val="20"/>
                      <w:szCs w:val="20"/>
                    </w:rPr>
                    <w:t>42%</w:t>
                  </w:r>
                </w:p>
              </w:tc>
              <w:tc>
                <w:tcPr>
                  <w:tcW w:w="1331" w:type="dxa"/>
                  <w:shd w:val="clear" w:color="auto" w:fill="auto"/>
                  <w:vAlign w:val="center"/>
                  <w:hideMark/>
                </w:tcPr>
                <w:p w:rsidR="000A2250" w:rsidRPr="0013598F" w:rsidRDefault="000A2250" w:rsidP="000A2250">
                  <w:pPr>
                    <w:jc w:val="center"/>
                    <w:rPr>
                      <w:sz w:val="20"/>
                      <w:szCs w:val="20"/>
                    </w:rPr>
                  </w:pPr>
                  <w:r w:rsidRPr="0013598F">
                    <w:rPr>
                      <w:sz w:val="20"/>
                      <w:szCs w:val="20"/>
                    </w:rPr>
                    <w:t>246,9</w:t>
                  </w:r>
                </w:p>
              </w:tc>
            </w:tr>
            <w:tr w:rsidR="000A2250" w:rsidRPr="00D1550C" w:rsidTr="00E87ACA">
              <w:trPr>
                <w:trHeight w:val="70"/>
              </w:trPr>
              <w:tc>
                <w:tcPr>
                  <w:tcW w:w="3234" w:type="dxa"/>
                  <w:shd w:val="clear" w:color="auto" w:fill="auto"/>
                  <w:vAlign w:val="center"/>
                  <w:hideMark/>
                </w:tcPr>
                <w:p w:rsidR="000A2250" w:rsidRPr="0013598F" w:rsidRDefault="000A2250" w:rsidP="000A2250">
                  <w:pPr>
                    <w:rPr>
                      <w:rFonts w:asciiTheme="minorHAnsi" w:hAnsiTheme="minorHAnsi" w:cstheme="minorHAnsi"/>
                      <w:color w:val="000000"/>
                      <w:sz w:val="20"/>
                      <w:szCs w:val="20"/>
                    </w:rPr>
                  </w:pPr>
                  <w:r w:rsidRPr="0013598F">
                    <w:rPr>
                      <w:rFonts w:asciiTheme="minorHAnsi" w:hAnsiTheme="minorHAnsi" w:cstheme="minorHAnsi"/>
                      <w:color w:val="000000"/>
                      <w:sz w:val="20"/>
                      <w:szCs w:val="20"/>
                    </w:rPr>
                    <w:t>Central bank</w:t>
                  </w:r>
                  <w:r w:rsidRPr="0013598F">
                    <w:rPr>
                      <w:rStyle w:val="a9"/>
                      <w:rFonts w:asciiTheme="minorHAnsi" w:hAnsiTheme="minorHAnsi" w:cstheme="minorHAnsi"/>
                      <w:color w:val="000000"/>
                      <w:sz w:val="20"/>
                      <w:szCs w:val="20"/>
                    </w:rPr>
                    <w:footnoteReference w:id="13"/>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363,9</w:t>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378,6</w:t>
                  </w:r>
                </w:p>
              </w:tc>
              <w:tc>
                <w:tcPr>
                  <w:tcW w:w="1229" w:type="dxa"/>
                  <w:shd w:val="clear" w:color="auto" w:fill="auto"/>
                  <w:vAlign w:val="center"/>
                  <w:hideMark/>
                </w:tcPr>
                <w:p w:rsidR="000A2250" w:rsidRPr="0013598F" w:rsidRDefault="000A2250" w:rsidP="000A2250">
                  <w:pPr>
                    <w:jc w:val="center"/>
                    <w:rPr>
                      <w:sz w:val="20"/>
                      <w:szCs w:val="20"/>
                    </w:rPr>
                  </w:pPr>
                  <w:r w:rsidRPr="0013598F">
                    <w:rPr>
                      <w:sz w:val="20"/>
                      <w:szCs w:val="20"/>
                    </w:rPr>
                    <w:t>374,9</w:t>
                  </w:r>
                </w:p>
              </w:tc>
              <w:tc>
                <w:tcPr>
                  <w:tcW w:w="1123" w:type="dxa"/>
                  <w:shd w:val="clear" w:color="auto" w:fill="auto"/>
                  <w:vAlign w:val="center"/>
                  <w:hideMark/>
                </w:tcPr>
                <w:p w:rsidR="000A2250" w:rsidRPr="0013598F" w:rsidRDefault="000A2250" w:rsidP="000A2250">
                  <w:pPr>
                    <w:jc w:val="center"/>
                    <w:rPr>
                      <w:sz w:val="20"/>
                      <w:szCs w:val="20"/>
                    </w:rPr>
                  </w:pPr>
                  <w:r w:rsidRPr="0013598F">
                    <w:rPr>
                      <w:sz w:val="20"/>
                      <w:szCs w:val="20"/>
                    </w:rPr>
                    <w:t>1%</w:t>
                  </w:r>
                </w:p>
              </w:tc>
              <w:tc>
                <w:tcPr>
                  <w:tcW w:w="1331" w:type="dxa"/>
                  <w:shd w:val="clear" w:color="auto" w:fill="auto"/>
                  <w:vAlign w:val="center"/>
                  <w:hideMark/>
                </w:tcPr>
                <w:p w:rsidR="000A2250" w:rsidRPr="0013598F" w:rsidRDefault="000A2250" w:rsidP="000A2250">
                  <w:pPr>
                    <w:jc w:val="center"/>
                    <w:rPr>
                      <w:sz w:val="20"/>
                      <w:szCs w:val="20"/>
                    </w:rPr>
                  </w:pPr>
                  <w:r w:rsidRPr="0013598F">
                    <w:rPr>
                      <w:sz w:val="20"/>
                      <w:szCs w:val="20"/>
                    </w:rPr>
                    <w:t>-3,7</w:t>
                  </w:r>
                </w:p>
              </w:tc>
            </w:tr>
            <w:tr w:rsidR="000A2250" w:rsidRPr="00D1550C" w:rsidTr="00E87ACA">
              <w:trPr>
                <w:trHeight w:val="70"/>
              </w:trPr>
              <w:tc>
                <w:tcPr>
                  <w:tcW w:w="3234" w:type="dxa"/>
                  <w:shd w:val="clear" w:color="auto" w:fill="auto"/>
                  <w:vAlign w:val="center"/>
                  <w:hideMark/>
                </w:tcPr>
                <w:p w:rsidR="000A2250" w:rsidRPr="0013598F" w:rsidRDefault="000A2250" w:rsidP="0013598F">
                  <w:pPr>
                    <w:rPr>
                      <w:rFonts w:asciiTheme="minorHAnsi" w:hAnsiTheme="minorHAnsi" w:cstheme="minorHAnsi"/>
                      <w:color w:val="000000"/>
                      <w:sz w:val="20"/>
                      <w:szCs w:val="20"/>
                    </w:rPr>
                  </w:pPr>
                  <w:r w:rsidRPr="0013598F">
                    <w:rPr>
                      <w:rFonts w:asciiTheme="minorHAnsi" w:hAnsiTheme="minorHAnsi" w:cstheme="minorHAnsi"/>
                      <w:color w:val="000000"/>
                      <w:sz w:val="20"/>
                      <w:szCs w:val="20"/>
                    </w:rPr>
                    <w:t>Deposit-Taking Corporations, except Central Bank</w:t>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3 088,0</w:t>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6 651,1</w:t>
                  </w:r>
                </w:p>
              </w:tc>
              <w:tc>
                <w:tcPr>
                  <w:tcW w:w="1229" w:type="dxa"/>
                  <w:shd w:val="clear" w:color="auto" w:fill="auto"/>
                  <w:vAlign w:val="center"/>
                  <w:hideMark/>
                </w:tcPr>
                <w:p w:rsidR="000A2250" w:rsidRPr="0013598F" w:rsidRDefault="000A2250" w:rsidP="000A2250">
                  <w:pPr>
                    <w:jc w:val="center"/>
                    <w:rPr>
                      <w:sz w:val="20"/>
                      <w:szCs w:val="20"/>
                    </w:rPr>
                  </w:pPr>
                  <w:r w:rsidRPr="0013598F">
                    <w:rPr>
                      <w:sz w:val="20"/>
                      <w:szCs w:val="20"/>
                    </w:rPr>
                    <w:t>7 352,8</w:t>
                  </w:r>
                </w:p>
              </w:tc>
              <w:tc>
                <w:tcPr>
                  <w:tcW w:w="1123" w:type="dxa"/>
                  <w:shd w:val="clear" w:color="auto" w:fill="auto"/>
                  <w:vAlign w:val="center"/>
                  <w:hideMark/>
                </w:tcPr>
                <w:p w:rsidR="000A2250" w:rsidRPr="0013598F" w:rsidRDefault="000A2250" w:rsidP="000A2250">
                  <w:pPr>
                    <w:jc w:val="center"/>
                    <w:rPr>
                      <w:sz w:val="20"/>
                      <w:szCs w:val="20"/>
                    </w:rPr>
                  </w:pPr>
                  <w:r w:rsidRPr="0013598F">
                    <w:rPr>
                      <w:sz w:val="20"/>
                      <w:szCs w:val="20"/>
                    </w:rPr>
                    <w:t>19%</w:t>
                  </w:r>
                </w:p>
              </w:tc>
              <w:tc>
                <w:tcPr>
                  <w:tcW w:w="1331" w:type="dxa"/>
                  <w:shd w:val="clear" w:color="auto" w:fill="auto"/>
                  <w:vAlign w:val="center"/>
                  <w:hideMark/>
                </w:tcPr>
                <w:p w:rsidR="000A2250" w:rsidRPr="0013598F" w:rsidRDefault="000A2250" w:rsidP="000A2250">
                  <w:pPr>
                    <w:jc w:val="center"/>
                    <w:rPr>
                      <w:sz w:val="20"/>
                      <w:szCs w:val="20"/>
                    </w:rPr>
                  </w:pPr>
                  <w:r w:rsidRPr="0013598F">
                    <w:rPr>
                      <w:sz w:val="20"/>
                      <w:szCs w:val="20"/>
                    </w:rPr>
                    <w:t>701,7</w:t>
                  </w:r>
                </w:p>
              </w:tc>
            </w:tr>
            <w:tr w:rsidR="000A2250" w:rsidRPr="00D1550C" w:rsidTr="00E87ACA">
              <w:trPr>
                <w:trHeight w:val="369"/>
              </w:trPr>
              <w:tc>
                <w:tcPr>
                  <w:tcW w:w="3234" w:type="dxa"/>
                  <w:shd w:val="clear" w:color="auto" w:fill="auto"/>
                  <w:vAlign w:val="center"/>
                  <w:hideMark/>
                </w:tcPr>
                <w:p w:rsidR="000A2250" w:rsidRPr="0013598F" w:rsidRDefault="000A2250" w:rsidP="000A2250">
                  <w:pPr>
                    <w:rPr>
                      <w:rFonts w:asciiTheme="minorHAnsi" w:hAnsiTheme="minorHAnsi" w:cstheme="minorHAnsi"/>
                      <w:color w:val="000000"/>
                      <w:sz w:val="20"/>
                      <w:szCs w:val="20"/>
                    </w:rPr>
                  </w:pPr>
                  <w:r w:rsidRPr="0013598F">
                    <w:rPr>
                      <w:rFonts w:asciiTheme="minorHAnsi" w:hAnsiTheme="minorHAnsi" w:cstheme="minorHAnsi"/>
                      <w:color w:val="000000"/>
                      <w:sz w:val="20"/>
                      <w:szCs w:val="20"/>
                    </w:rPr>
                    <w:t>Other Sectors</w:t>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10 252,3</w:t>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12 147,5</w:t>
                  </w:r>
                </w:p>
              </w:tc>
              <w:tc>
                <w:tcPr>
                  <w:tcW w:w="1229" w:type="dxa"/>
                  <w:shd w:val="clear" w:color="auto" w:fill="auto"/>
                  <w:vAlign w:val="center"/>
                  <w:hideMark/>
                </w:tcPr>
                <w:p w:rsidR="000A2250" w:rsidRPr="0013598F" w:rsidRDefault="000A2250" w:rsidP="000A2250">
                  <w:pPr>
                    <w:jc w:val="center"/>
                    <w:rPr>
                      <w:sz w:val="20"/>
                      <w:szCs w:val="20"/>
                    </w:rPr>
                  </w:pPr>
                  <w:r w:rsidRPr="0013598F">
                    <w:rPr>
                      <w:sz w:val="20"/>
                      <w:szCs w:val="20"/>
                    </w:rPr>
                    <w:t>13 550,3</w:t>
                  </w:r>
                </w:p>
              </w:tc>
              <w:tc>
                <w:tcPr>
                  <w:tcW w:w="1123" w:type="dxa"/>
                  <w:shd w:val="clear" w:color="auto" w:fill="auto"/>
                  <w:vAlign w:val="center"/>
                  <w:hideMark/>
                </w:tcPr>
                <w:p w:rsidR="000A2250" w:rsidRPr="0013598F" w:rsidRDefault="000A2250" w:rsidP="000A2250">
                  <w:pPr>
                    <w:jc w:val="center"/>
                    <w:rPr>
                      <w:sz w:val="20"/>
                      <w:szCs w:val="20"/>
                    </w:rPr>
                  </w:pPr>
                  <w:r w:rsidRPr="0013598F">
                    <w:rPr>
                      <w:sz w:val="20"/>
                      <w:szCs w:val="20"/>
                    </w:rPr>
                    <w:t>35%</w:t>
                  </w:r>
                </w:p>
              </w:tc>
              <w:tc>
                <w:tcPr>
                  <w:tcW w:w="1331" w:type="dxa"/>
                  <w:shd w:val="clear" w:color="auto" w:fill="auto"/>
                  <w:vAlign w:val="center"/>
                  <w:hideMark/>
                </w:tcPr>
                <w:p w:rsidR="000A2250" w:rsidRPr="0013598F" w:rsidRDefault="000A2250" w:rsidP="000A2250">
                  <w:pPr>
                    <w:jc w:val="center"/>
                    <w:rPr>
                      <w:sz w:val="20"/>
                      <w:szCs w:val="20"/>
                    </w:rPr>
                  </w:pPr>
                  <w:r w:rsidRPr="0013598F">
                    <w:rPr>
                      <w:sz w:val="20"/>
                      <w:szCs w:val="20"/>
                    </w:rPr>
                    <w:t>1 402,8</w:t>
                  </w:r>
                </w:p>
              </w:tc>
            </w:tr>
            <w:tr w:rsidR="000A2250" w:rsidRPr="00D1550C" w:rsidTr="00E87ACA">
              <w:trPr>
                <w:trHeight w:val="70"/>
              </w:trPr>
              <w:tc>
                <w:tcPr>
                  <w:tcW w:w="3234" w:type="dxa"/>
                  <w:shd w:val="clear" w:color="auto" w:fill="auto"/>
                  <w:vAlign w:val="center"/>
                  <w:hideMark/>
                </w:tcPr>
                <w:p w:rsidR="000A2250" w:rsidRPr="0013598F" w:rsidRDefault="000A2250" w:rsidP="000A2250">
                  <w:pPr>
                    <w:rPr>
                      <w:rFonts w:asciiTheme="minorHAnsi" w:hAnsiTheme="minorHAnsi" w:cstheme="minorHAnsi"/>
                      <w:color w:val="000000"/>
                      <w:sz w:val="20"/>
                      <w:szCs w:val="20"/>
                    </w:rPr>
                  </w:pPr>
                  <w:r w:rsidRPr="0013598F">
                    <w:rPr>
                      <w:rFonts w:asciiTheme="minorHAnsi" w:hAnsiTheme="minorHAnsi" w:cstheme="minorHAnsi"/>
                      <w:color w:val="000000"/>
                      <w:sz w:val="20"/>
                      <w:szCs w:val="20"/>
                    </w:rPr>
                    <w:t>Direct Investment: Intercompany Lending</w:t>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884,3</w:t>
                  </w:r>
                </w:p>
              </w:tc>
              <w:tc>
                <w:tcPr>
                  <w:tcW w:w="1342" w:type="dxa"/>
                  <w:shd w:val="clear" w:color="auto" w:fill="auto"/>
                  <w:vAlign w:val="center"/>
                  <w:hideMark/>
                </w:tcPr>
                <w:p w:rsidR="000A2250" w:rsidRPr="0013598F" w:rsidRDefault="000A2250" w:rsidP="000A2250">
                  <w:pPr>
                    <w:jc w:val="center"/>
                    <w:rPr>
                      <w:rFonts w:asciiTheme="minorHAnsi" w:hAnsiTheme="minorHAnsi" w:cstheme="minorHAnsi"/>
                      <w:color w:val="000000"/>
                      <w:sz w:val="20"/>
                      <w:szCs w:val="20"/>
                    </w:rPr>
                  </w:pPr>
                  <w:r w:rsidRPr="0013598F">
                    <w:rPr>
                      <w:sz w:val="20"/>
                      <w:szCs w:val="20"/>
                    </w:rPr>
                    <w:t>1 010,4</w:t>
                  </w:r>
                </w:p>
              </w:tc>
              <w:tc>
                <w:tcPr>
                  <w:tcW w:w="1229" w:type="dxa"/>
                  <w:shd w:val="clear" w:color="auto" w:fill="auto"/>
                  <w:vAlign w:val="center"/>
                  <w:hideMark/>
                </w:tcPr>
                <w:p w:rsidR="000A2250" w:rsidRPr="0013598F" w:rsidRDefault="000A2250" w:rsidP="000A2250">
                  <w:pPr>
                    <w:jc w:val="center"/>
                    <w:rPr>
                      <w:sz w:val="20"/>
                      <w:szCs w:val="20"/>
                    </w:rPr>
                  </w:pPr>
                  <w:r w:rsidRPr="0013598F">
                    <w:rPr>
                      <w:sz w:val="20"/>
                      <w:szCs w:val="20"/>
                    </w:rPr>
                    <w:t>1 193,4</w:t>
                  </w:r>
                </w:p>
              </w:tc>
              <w:tc>
                <w:tcPr>
                  <w:tcW w:w="1123" w:type="dxa"/>
                  <w:shd w:val="clear" w:color="auto" w:fill="auto"/>
                  <w:vAlign w:val="center"/>
                  <w:hideMark/>
                </w:tcPr>
                <w:p w:rsidR="000A2250" w:rsidRPr="0013598F" w:rsidRDefault="000A2250" w:rsidP="000A2250">
                  <w:pPr>
                    <w:jc w:val="center"/>
                    <w:rPr>
                      <w:sz w:val="20"/>
                      <w:szCs w:val="20"/>
                    </w:rPr>
                  </w:pPr>
                  <w:r w:rsidRPr="0013598F">
                    <w:rPr>
                      <w:sz w:val="20"/>
                      <w:szCs w:val="20"/>
                    </w:rPr>
                    <w:t>3%</w:t>
                  </w:r>
                </w:p>
              </w:tc>
              <w:tc>
                <w:tcPr>
                  <w:tcW w:w="1331" w:type="dxa"/>
                  <w:shd w:val="clear" w:color="auto" w:fill="auto"/>
                  <w:vAlign w:val="center"/>
                  <w:hideMark/>
                </w:tcPr>
                <w:p w:rsidR="000A2250" w:rsidRPr="0013598F" w:rsidRDefault="000A2250" w:rsidP="000A2250">
                  <w:pPr>
                    <w:jc w:val="center"/>
                    <w:rPr>
                      <w:sz w:val="20"/>
                      <w:szCs w:val="20"/>
                    </w:rPr>
                  </w:pPr>
                  <w:r w:rsidRPr="0013598F">
                    <w:rPr>
                      <w:sz w:val="20"/>
                      <w:szCs w:val="20"/>
                    </w:rPr>
                    <w:t>182,9</w:t>
                  </w:r>
                </w:p>
              </w:tc>
            </w:tr>
          </w:tbl>
          <w:p w:rsidR="00FE35E9" w:rsidRPr="00D1550C" w:rsidRDefault="00FE35E9" w:rsidP="00E87ACA">
            <w:pPr>
              <w:rPr>
                <w:rFonts w:asciiTheme="minorHAnsi" w:hAnsiTheme="minorHAnsi" w:cstheme="minorHAnsi"/>
                <w:sz w:val="20"/>
                <w:szCs w:val="20"/>
              </w:rPr>
            </w:pPr>
          </w:p>
          <w:p w:rsidR="00FE35E9" w:rsidRPr="00D1550C" w:rsidRDefault="00FE35E9" w:rsidP="00E87ACA">
            <w:pPr>
              <w:ind w:firstLine="741"/>
              <w:jc w:val="both"/>
              <w:rPr>
                <w:rFonts w:cs="Calibri"/>
                <w:sz w:val="26"/>
                <w:szCs w:val="26"/>
              </w:rPr>
            </w:pPr>
            <w:r w:rsidRPr="00D1550C">
              <w:rPr>
                <w:rFonts w:cs="Calibri"/>
                <w:sz w:val="26"/>
                <w:szCs w:val="26"/>
              </w:rPr>
              <w:t>For 1</w:t>
            </w:r>
            <w:r w:rsidRPr="00D1550C">
              <w:rPr>
                <w:rFonts w:cs="Calibri"/>
                <w:sz w:val="26"/>
                <w:szCs w:val="26"/>
                <w:vertAlign w:val="superscript"/>
              </w:rPr>
              <w:t>st</w:t>
            </w:r>
            <w:r w:rsidRPr="00D1550C">
              <w:rPr>
                <w:rFonts w:cs="Calibri"/>
                <w:sz w:val="26"/>
                <w:szCs w:val="26"/>
              </w:rPr>
              <w:t xml:space="preserve"> </w:t>
            </w:r>
            <w:r w:rsidR="00E87ACA" w:rsidRPr="00D1550C">
              <w:rPr>
                <w:rFonts w:cs="Calibri"/>
                <w:sz w:val="26"/>
                <w:szCs w:val="26"/>
              </w:rPr>
              <w:t>half</w:t>
            </w:r>
            <w:r w:rsidRPr="00D1550C">
              <w:rPr>
                <w:rFonts w:cs="Calibri"/>
                <w:sz w:val="26"/>
                <w:szCs w:val="26"/>
              </w:rPr>
              <w:t xml:space="preserve"> of2021 gross external debt increased by </w:t>
            </w:r>
            <w:r w:rsidR="00E87ACA" w:rsidRPr="00D1550C">
              <w:rPr>
                <w:rFonts w:cs="Calibri"/>
                <w:sz w:val="26"/>
                <w:szCs w:val="26"/>
              </w:rPr>
              <w:t>2</w:t>
            </w:r>
            <w:r w:rsidR="0013598F">
              <w:rPr>
                <w:rFonts w:cs="Calibri"/>
                <w:sz w:val="26"/>
                <w:szCs w:val="26"/>
              </w:rPr>
              <w:t>.</w:t>
            </w:r>
            <w:r w:rsidR="00E87ACA" w:rsidRPr="00D1550C">
              <w:rPr>
                <w:rFonts w:cs="Calibri"/>
                <w:sz w:val="26"/>
                <w:szCs w:val="26"/>
              </w:rPr>
              <w:t>5</w:t>
            </w:r>
            <w:r w:rsidRPr="00D1550C">
              <w:rPr>
                <w:rFonts w:cs="Calibri"/>
                <w:sz w:val="26"/>
                <w:szCs w:val="26"/>
              </w:rPr>
              <w:t xml:space="preserve"> </w:t>
            </w:r>
            <w:r w:rsidR="00E87ACA" w:rsidRPr="00D1550C">
              <w:rPr>
                <w:rFonts w:cs="Calibri"/>
                <w:sz w:val="26"/>
                <w:szCs w:val="26"/>
              </w:rPr>
              <w:t>b</w:t>
            </w:r>
            <w:r w:rsidRPr="00D1550C">
              <w:rPr>
                <w:rFonts w:cs="Calibri"/>
                <w:sz w:val="26"/>
                <w:szCs w:val="26"/>
              </w:rPr>
              <w:t xml:space="preserve">illion, mostly, due to operational changes while revaluation (exchange rate and price changes of financial instruments) and other changes were equal USD </w:t>
            </w:r>
            <w:r w:rsidR="00E87ACA" w:rsidRPr="00D1550C">
              <w:rPr>
                <w:rFonts w:cs="Calibri"/>
                <w:sz w:val="26"/>
                <w:szCs w:val="26"/>
              </w:rPr>
              <w:t>318</w:t>
            </w:r>
            <w:r w:rsidR="0013598F">
              <w:rPr>
                <w:rFonts w:cs="Calibri"/>
                <w:sz w:val="26"/>
                <w:szCs w:val="26"/>
              </w:rPr>
              <w:t>.</w:t>
            </w:r>
            <w:r w:rsidR="00E87ACA" w:rsidRPr="00D1550C">
              <w:rPr>
                <w:rFonts w:cs="Calibri"/>
                <w:sz w:val="26"/>
                <w:szCs w:val="26"/>
              </w:rPr>
              <w:t>5</w:t>
            </w:r>
            <w:r w:rsidR="0013598F">
              <w:rPr>
                <w:rFonts w:cs="Calibri"/>
                <w:sz w:val="26"/>
                <w:szCs w:val="26"/>
              </w:rPr>
              <w:t xml:space="preserve"> million and </w:t>
            </w:r>
            <w:r w:rsidRPr="00D1550C">
              <w:rPr>
                <w:rFonts w:cs="Calibri"/>
                <w:sz w:val="26"/>
                <w:szCs w:val="26"/>
              </w:rPr>
              <w:t xml:space="preserve">USD </w:t>
            </w:r>
            <w:r w:rsidR="00E87ACA" w:rsidRPr="00D1550C">
              <w:rPr>
                <w:rFonts w:cs="Calibri"/>
                <w:sz w:val="26"/>
                <w:szCs w:val="26"/>
              </w:rPr>
              <w:t>47</w:t>
            </w:r>
            <w:r w:rsidR="0013598F">
              <w:rPr>
                <w:rFonts w:cs="Calibri"/>
                <w:sz w:val="26"/>
                <w:szCs w:val="26"/>
              </w:rPr>
              <w:t>.</w:t>
            </w:r>
            <w:r w:rsidR="00E87ACA" w:rsidRPr="00D1550C">
              <w:rPr>
                <w:rFonts w:cs="Calibri"/>
                <w:sz w:val="26"/>
                <w:szCs w:val="26"/>
              </w:rPr>
              <w:t>2</w:t>
            </w:r>
            <w:r w:rsidRPr="00D1550C">
              <w:rPr>
                <w:rFonts w:cs="Calibri"/>
                <w:sz w:val="26"/>
                <w:szCs w:val="26"/>
              </w:rPr>
              <w:t xml:space="preserve"> million, respectively.</w:t>
            </w:r>
          </w:p>
          <w:p w:rsidR="00FE35E9" w:rsidRPr="00D1550C" w:rsidRDefault="00FE35E9" w:rsidP="00E87ACA">
            <w:pPr>
              <w:ind w:firstLine="741"/>
              <w:jc w:val="right"/>
              <w:rPr>
                <w:rFonts w:cs="Calibri"/>
                <w:sz w:val="26"/>
                <w:szCs w:val="26"/>
              </w:rPr>
            </w:pPr>
          </w:p>
          <w:p w:rsidR="00FE35E9" w:rsidRPr="00D1550C" w:rsidRDefault="00FE35E9" w:rsidP="00E87ACA">
            <w:pPr>
              <w:ind w:right="463" w:firstLine="709"/>
              <w:jc w:val="right"/>
              <w:rPr>
                <w:rFonts w:asciiTheme="minorHAnsi" w:hAnsiTheme="minorHAnsi" w:cstheme="minorHAnsi"/>
              </w:rPr>
            </w:pPr>
            <w:r w:rsidRPr="00D1550C">
              <w:rPr>
                <w:rFonts w:asciiTheme="minorHAnsi" w:hAnsiTheme="minorHAnsi" w:cstheme="minorHAnsi"/>
              </w:rPr>
              <w:t>Table 2</w:t>
            </w:r>
          </w:p>
          <w:p w:rsidR="00FE35E9" w:rsidRPr="00D1550C" w:rsidRDefault="00FE35E9" w:rsidP="00E87ACA">
            <w:pPr>
              <w:ind w:firstLine="20"/>
              <w:jc w:val="center"/>
              <w:rPr>
                <w:rFonts w:asciiTheme="minorHAnsi" w:hAnsiTheme="minorHAnsi" w:cstheme="minorHAnsi"/>
                <w:b/>
              </w:rPr>
            </w:pPr>
            <w:r w:rsidRPr="00D1550C">
              <w:rPr>
                <w:rFonts w:asciiTheme="minorHAnsi" w:hAnsiTheme="minorHAnsi" w:cstheme="minorHAnsi"/>
                <w:b/>
              </w:rPr>
              <w:t>Structure and changes gross external debt by sector</w:t>
            </w:r>
          </w:p>
          <w:p w:rsidR="00FE35E9" w:rsidRPr="00D1550C" w:rsidRDefault="00FE35E9" w:rsidP="00E87ACA">
            <w:pPr>
              <w:pStyle w:val="aff8"/>
              <w:spacing w:before="0" w:beforeAutospacing="0" w:after="0" w:afterAutospacing="0"/>
              <w:ind w:firstLine="8385"/>
              <w:jc w:val="right"/>
              <w:rPr>
                <w:rFonts w:asciiTheme="minorHAnsi" w:hAnsiTheme="minorHAnsi" w:cstheme="minorHAnsi"/>
                <w:i/>
                <w:color w:val="000000"/>
                <w:sz w:val="20"/>
                <w:szCs w:val="20"/>
              </w:rPr>
            </w:pPr>
          </w:p>
          <w:p w:rsidR="00FE35E9" w:rsidRPr="00D1550C" w:rsidRDefault="00FE35E9" w:rsidP="00E87ACA">
            <w:pPr>
              <w:pStyle w:val="aff8"/>
              <w:spacing w:before="0" w:beforeAutospacing="0" w:after="0" w:afterAutospacing="0"/>
              <w:ind w:firstLine="8385"/>
              <w:jc w:val="center"/>
              <w:rPr>
                <w:rFonts w:asciiTheme="minorHAnsi" w:hAnsiTheme="minorHAnsi" w:cstheme="minorHAnsi"/>
                <w:sz w:val="18"/>
              </w:rPr>
            </w:pPr>
            <w:r w:rsidRPr="00D1550C">
              <w:rPr>
                <w:rFonts w:asciiTheme="minorHAnsi" w:hAnsiTheme="minorHAnsi" w:cstheme="minorHAnsi"/>
                <w:i/>
                <w:color w:val="000000"/>
                <w:sz w:val="20"/>
                <w:szCs w:val="20"/>
              </w:rPr>
              <w:t>(mln. doll.)</w:t>
            </w:r>
          </w:p>
          <w:tbl>
            <w:tblPr>
              <w:tblW w:w="96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24"/>
              <w:gridCol w:w="1336"/>
              <w:gridCol w:w="1126"/>
              <w:gridCol w:w="1326"/>
              <w:gridCol w:w="1248"/>
              <w:gridCol w:w="1342"/>
            </w:tblGrid>
            <w:tr w:rsidR="00FE35E9" w:rsidRPr="00D1550C" w:rsidTr="00E87ACA">
              <w:trPr>
                <w:trHeight w:val="190"/>
              </w:trPr>
              <w:tc>
                <w:tcPr>
                  <w:tcW w:w="3224" w:type="dxa"/>
                  <w:vMerge w:val="restart"/>
                  <w:shd w:val="clear" w:color="auto" w:fill="auto"/>
                  <w:vAlign w:val="center"/>
                  <w:hideMark/>
                </w:tcPr>
                <w:p w:rsidR="00FE35E9" w:rsidRPr="00D1550C" w:rsidRDefault="00FE35E9" w:rsidP="00E87ACA">
                  <w:pPr>
                    <w:rPr>
                      <w:rFonts w:asciiTheme="minorHAnsi" w:hAnsiTheme="minorHAnsi" w:cstheme="minorHAnsi"/>
                      <w:color w:val="000000"/>
                      <w:sz w:val="20"/>
                      <w:szCs w:val="20"/>
                    </w:rPr>
                  </w:pPr>
                  <w:r w:rsidRPr="00D1550C">
                    <w:rPr>
                      <w:rFonts w:asciiTheme="minorHAnsi" w:hAnsiTheme="minorHAnsi" w:cstheme="minorHAnsi"/>
                      <w:color w:val="000000"/>
                      <w:sz w:val="20"/>
                      <w:szCs w:val="20"/>
                    </w:rPr>
                    <w:t> </w:t>
                  </w:r>
                </w:p>
              </w:tc>
              <w:tc>
                <w:tcPr>
                  <w:tcW w:w="1336" w:type="dxa"/>
                  <w:vMerge w:val="restart"/>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01.01.2021</w:t>
                  </w:r>
                </w:p>
              </w:tc>
              <w:tc>
                <w:tcPr>
                  <w:tcW w:w="3700" w:type="dxa"/>
                  <w:gridSpan w:val="3"/>
                  <w:shd w:val="clear" w:color="auto" w:fill="auto"/>
                  <w:vAlign w:val="center"/>
                  <w:hideMark/>
                </w:tcPr>
                <w:p w:rsidR="00FE35E9" w:rsidRPr="00D1550C" w:rsidRDefault="00FE35E9" w:rsidP="000A225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Change in the 1</w:t>
                  </w:r>
                  <w:r w:rsidR="000A2250" w:rsidRPr="00D1550C">
                    <w:rPr>
                      <w:rFonts w:asciiTheme="minorHAnsi" w:hAnsiTheme="minorHAnsi" w:cstheme="minorHAnsi"/>
                      <w:color w:val="000000"/>
                      <w:sz w:val="20"/>
                      <w:szCs w:val="20"/>
                      <w:vertAlign w:val="superscript"/>
                    </w:rPr>
                    <w:t>st</w:t>
                  </w:r>
                  <w:r w:rsidR="000A2250" w:rsidRPr="00D1550C">
                    <w:rPr>
                      <w:rFonts w:asciiTheme="minorHAnsi" w:hAnsiTheme="minorHAnsi" w:cstheme="minorHAnsi"/>
                      <w:color w:val="000000"/>
                      <w:sz w:val="20"/>
                      <w:szCs w:val="20"/>
                    </w:rPr>
                    <w:t xml:space="preserve"> half</w:t>
                  </w:r>
                  <w:r w:rsidRPr="00D1550C">
                    <w:rPr>
                      <w:rFonts w:asciiTheme="minorHAnsi" w:hAnsiTheme="minorHAnsi" w:cstheme="minorHAnsi"/>
                      <w:color w:val="000000"/>
                      <w:sz w:val="20"/>
                      <w:szCs w:val="20"/>
                    </w:rPr>
                    <w:t xml:space="preserve"> of 2021</w:t>
                  </w:r>
                </w:p>
              </w:tc>
              <w:tc>
                <w:tcPr>
                  <w:tcW w:w="1342" w:type="dxa"/>
                  <w:vMerge w:val="restart"/>
                  <w:shd w:val="clear" w:color="auto" w:fill="auto"/>
                  <w:vAlign w:val="center"/>
                  <w:hideMark/>
                </w:tcPr>
                <w:p w:rsidR="00FE35E9" w:rsidRPr="00D1550C" w:rsidRDefault="00FE35E9" w:rsidP="000A225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w:t>
                  </w:r>
                  <w:r w:rsidR="000A2250" w:rsidRPr="00D1550C">
                    <w:rPr>
                      <w:rFonts w:asciiTheme="minorHAnsi" w:hAnsiTheme="minorHAnsi" w:cstheme="minorHAnsi"/>
                      <w:color w:val="000000"/>
                      <w:sz w:val="20"/>
                      <w:szCs w:val="20"/>
                    </w:rPr>
                    <w:t>7</w:t>
                  </w:r>
                  <w:r w:rsidRPr="00D1550C">
                    <w:rPr>
                      <w:rFonts w:asciiTheme="minorHAnsi" w:hAnsiTheme="minorHAnsi" w:cstheme="minorHAnsi"/>
                      <w:color w:val="000000"/>
                      <w:sz w:val="20"/>
                      <w:szCs w:val="20"/>
                    </w:rPr>
                    <w:t>.2021</w:t>
                  </w:r>
                </w:p>
              </w:tc>
            </w:tr>
            <w:tr w:rsidR="00FE35E9" w:rsidRPr="00D1550C" w:rsidTr="00E87ACA">
              <w:trPr>
                <w:trHeight w:val="228"/>
              </w:trPr>
              <w:tc>
                <w:tcPr>
                  <w:tcW w:w="3224" w:type="dxa"/>
                  <w:vMerge/>
                  <w:vAlign w:val="center"/>
                  <w:hideMark/>
                </w:tcPr>
                <w:p w:rsidR="00FE35E9" w:rsidRPr="00D1550C" w:rsidRDefault="00FE35E9" w:rsidP="00E87ACA">
                  <w:pPr>
                    <w:rPr>
                      <w:rFonts w:asciiTheme="minorHAnsi" w:hAnsiTheme="minorHAnsi" w:cstheme="minorHAnsi"/>
                      <w:color w:val="000000"/>
                      <w:sz w:val="20"/>
                      <w:szCs w:val="20"/>
                    </w:rPr>
                  </w:pPr>
                </w:p>
              </w:tc>
              <w:tc>
                <w:tcPr>
                  <w:tcW w:w="1336" w:type="dxa"/>
                  <w:vMerge/>
                  <w:vAlign w:val="center"/>
                  <w:hideMark/>
                </w:tcPr>
                <w:p w:rsidR="00FE35E9" w:rsidRPr="00D1550C" w:rsidRDefault="00FE35E9" w:rsidP="00E87ACA">
                  <w:pPr>
                    <w:rPr>
                      <w:rFonts w:asciiTheme="minorHAnsi" w:hAnsiTheme="minorHAnsi" w:cstheme="minorHAnsi"/>
                      <w:color w:val="000000"/>
                      <w:sz w:val="20"/>
                      <w:szCs w:val="20"/>
                    </w:rPr>
                  </w:pPr>
                </w:p>
              </w:tc>
              <w:tc>
                <w:tcPr>
                  <w:tcW w:w="1126"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operations</w:t>
                  </w:r>
                </w:p>
              </w:tc>
              <w:tc>
                <w:tcPr>
                  <w:tcW w:w="1326"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changes in volume</w:t>
                  </w:r>
                </w:p>
              </w:tc>
              <w:tc>
                <w:tcPr>
                  <w:tcW w:w="1248"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other changes</w:t>
                  </w:r>
                </w:p>
              </w:tc>
              <w:tc>
                <w:tcPr>
                  <w:tcW w:w="1342" w:type="dxa"/>
                  <w:vMerge/>
                  <w:vAlign w:val="center"/>
                  <w:hideMark/>
                </w:tcPr>
                <w:p w:rsidR="00FE35E9" w:rsidRPr="00D1550C" w:rsidRDefault="00FE35E9" w:rsidP="00E87ACA">
                  <w:pPr>
                    <w:rPr>
                      <w:rFonts w:asciiTheme="minorHAnsi" w:hAnsiTheme="minorHAnsi" w:cstheme="minorHAnsi"/>
                      <w:color w:val="000000"/>
                      <w:sz w:val="20"/>
                      <w:szCs w:val="20"/>
                    </w:rPr>
                  </w:pPr>
                </w:p>
              </w:tc>
            </w:tr>
            <w:tr w:rsidR="0013598F" w:rsidRPr="00D1550C" w:rsidTr="00E87ACA">
              <w:trPr>
                <w:trHeight w:val="220"/>
              </w:trPr>
              <w:tc>
                <w:tcPr>
                  <w:tcW w:w="3224" w:type="dxa"/>
                  <w:shd w:val="clear" w:color="auto" w:fill="9CC2E5" w:themeFill="accent1" w:themeFillTint="99"/>
                  <w:vAlign w:val="center"/>
                </w:tcPr>
                <w:p w:rsidR="0013598F" w:rsidRPr="0013598F" w:rsidRDefault="0013598F" w:rsidP="0013598F">
                  <w:pPr>
                    <w:rPr>
                      <w:rFonts w:asciiTheme="minorHAnsi" w:hAnsiTheme="minorHAnsi" w:cstheme="minorHAnsi"/>
                      <w:b/>
                      <w:color w:val="000000"/>
                      <w:sz w:val="20"/>
                      <w:szCs w:val="20"/>
                    </w:rPr>
                  </w:pPr>
                  <w:r w:rsidRPr="0013598F">
                    <w:rPr>
                      <w:rFonts w:asciiTheme="minorHAnsi" w:hAnsiTheme="minorHAnsi" w:cstheme="minorHAnsi"/>
                      <w:b/>
                      <w:sz w:val="20"/>
                      <w:szCs w:val="20"/>
                    </w:rPr>
                    <w:t>Gross external debt</w:t>
                  </w:r>
                </w:p>
              </w:tc>
              <w:tc>
                <w:tcPr>
                  <w:tcW w:w="1336" w:type="dxa"/>
                  <w:shd w:val="clear" w:color="auto" w:fill="9CC2E5" w:themeFill="accent1" w:themeFillTint="99"/>
                  <w:vAlign w:val="center"/>
                </w:tcPr>
                <w:p w:rsidR="0013598F" w:rsidRPr="00D1550C" w:rsidRDefault="0013598F" w:rsidP="0013598F">
                  <w:pPr>
                    <w:jc w:val="center"/>
                    <w:rPr>
                      <w:rFonts w:asciiTheme="minorHAnsi" w:hAnsiTheme="minorHAnsi" w:cstheme="minorHAnsi"/>
                      <w:b/>
                      <w:color w:val="000000"/>
                      <w:sz w:val="20"/>
                      <w:szCs w:val="20"/>
                    </w:rPr>
                  </w:pPr>
                  <w:r w:rsidRPr="00D1550C">
                    <w:rPr>
                      <w:b/>
                      <w:sz w:val="20"/>
                      <w:szCs w:val="20"/>
                    </w:rPr>
                    <w:t>36 328,8</w:t>
                  </w:r>
                </w:p>
              </w:tc>
              <w:tc>
                <w:tcPr>
                  <w:tcW w:w="1126" w:type="dxa"/>
                  <w:shd w:val="clear" w:color="auto" w:fill="9CC2E5" w:themeFill="accent1" w:themeFillTint="99"/>
                  <w:vAlign w:val="center"/>
                </w:tcPr>
                <w:p w:rsidR="0013598F" w:rsidRPr="00D1550C" w:rsidRDefault="0013598F" w:rsidP="0013598F">
                  <w:pPr>
                    <w:jc w:val="center"/>
                    <w:rPr>
                      <w:b/>
                      <w:sz w:val="20"/>
                      <w:szCs w:val="20"/>
                    </w:rPr>
                  </w:pPr>
                  <w:r w:rsidRPr="00D1550C">
                    <w:rPr>
                      <w:b/>
                      <w:sz w:val="20"/>
                      <w:szCs w:val="20"/>
                    </w:rPr>
                    <w:t>2 896,3</w:t>
                  </w:r>
                </w:p>
              </w:tc>
              <w:tc>
                <w:tcPr>
                  <w:tcW w:w="1326" w:type="dxa"/>
                  <w:shd w:val="clear" w:color="auto" w:fill="9CC2E5" w:themeFill="accent1" w:themeFillTint="99"/>
                  <w:vAlign w:val="center"/>
                </w:tcPr>
                <w:p w:rsidR="0013598F" w:rsidRPr="00D1550C" w:rsidRDefault="0013598F" w:rsidP="0013598F">
                  <w:pPr>
                    <w:jc w:val="center"/>
                    <w:rPr>
                      <w:b/>
                      <w:sz w:val="20"/>
                      <w:szCs w:val="20"/>
                    </w:rPr>
                  </w:pPr>
                  <w:r w:rsidRPr="00D1550C">
                    <w:rPr>
                      <w:b/>
                      <w:sz w:val="20"/>
                      <w:szCs w:val="20"/>
                    </w:rPr>
                    <w:t>-318,5</w:t>
                  </w:r>
                </w:p>
              </w:tc>
              <w:tc>
                <w:tcPr>
                  <w:tcW w:w="1248" w:type="dxa"/>
                  <w:shd w:val="clear" w:color="auto" w:fill="9CC2E5" w:themeFill="accent1" w:themeFillTint="99"/>
                  <w:vAlign w:val="center"/>
                </w:tcPr>
                <w:p w:rsidR="0013598F" w:rsidRPr="00D1550C" w:rsidRDefault="0013598F" w:rsidP="0013598F">
                  <w:pPr>
                    <w:jc w:val="center"/>
                    <w:rPr>
                      <w:b/>
                      <w:sz w:val="20"/>
                      <w:szCs w:val="20"/>
                    </w:rPr>
                  </w:pPr>
                  <w:r w:rsidRPr="00D1550C">
                    <w:rPr>
                      <w:b/>
                      <w:sz w:val="20"/>
                      <w:szCs w:val="20"/>
                    </w:rPr>
                    <w:t>-47,2</w:t>
                  </w:r>
                </w:p>
              </w:tc>
              <w:tc>
                <w:tcPr>
                  <w:tcW w:w="1342" w:type="dxa"/>
                  <w:shd w:val="clear" w:color="auto" w:fill="9CC2E5" w:themeFill="accent1" w:themeFillTint="99"/>
                  <w:vAlign w:val="center"/>
                </w:tcPr>
                <w:p w:rsidR="0013598F" w:rsidRPr="00D1550C" w:rsidRDefault="0013598F" w:rsidP="0013598F">
                  <w:pPr>
                    <w:jc w:val="center"/>
                    <w:rPr>
                      <w:b/>
                      <w:sz w:val="20"/>
                      <w:szCs w:val="20"/>
                    </w:rPr>
                  </w:pPr>
                  <w:r w:rsidRPr="00D1550C">
                    <w:rPr>
                      <w:b/>
                      <w:sz w:val="20"/>
                      <w:szCs w:val="20"/>
                    </w:rPr>
                    <w:t>38 859,5</w:t>
                  </w:r>
                </w:p>
              </w:tc>
            </w:tr>
            <w:tr w:rsidR="0013598F" w:rsidRPr="00D1550C" w:rsidTr="00E87ACA">
              <w:trPr>
                <w:trHeight w:val="79"/>
              </w:trPr>
              <w:tc>
                <w:tcPr>
                  <w:tcW w:w="3224" w:type="dxa"/>
                  <w:shd w:val="clear" w:color="auto" w:fill="auto"/>
                  <w:vAlign w:val="center"/>
                  <w:hideMark/>
                </w:tcPr>
                <w:p w:rsidR="0013598F" w:rsidRPr="00D1550C" w:rsidRDefault="0013598F" w:rsidP="0013598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G</w:t>
                  </w:r>
                  <w:r>
                    <w:rPr>
                      <w:rFonts w:asciiTheme="minorHAnsi" w:hAnsiTheme="minorHAnsi" w:cstheme="minorHAnsi"/>
                      <w:color w:val="000000"/>
                      <w:sz w:val="20"/>
                      <w:szCs w:val="20"/>
                    </w:rPr>
                    <w:t>e</w:t>
                  </w:r>
                  <w:r w:rsidRPr="00D1550C">
                    <w:rPr>
                      <w:rFonts w:asciiTheme="minorHAnsi" w:hAnsiTheme="minorHAnsi" w:cstheme="minorHAnsi"/>
                      <w:color w:val="000000"/>
                      <w:sz w:val="20"/>
                      <w:szCs w:val="20"/>
                    </w:rPr>
                    <w:t>n</w:t>
                  </w:r>
                  <w:r>
                    <w:rPr>
                      <w:rFonts w:asciiTheme="minorHAnsi" w:hAnsiTheme="minorHAnsi" w:cstheme="minorHAnsi"/>
                      <w:color w:val="000000"/>
                      <w:sz w:val="20"/>
                      <w:szCs w:val="20"/>
                    </w:rPr>
                    <w:t>e</w:t>
                  </w:r>
                  <w:r w:rsidRPr="00D1550C">
                    <w:rPr>
                      <w:rFonts w:asciiTheme="minorHAnsi" w:hAnsiTheme="minorHAnsi" w:cstheme="minorHAnsi"/>
                      <w:color w:val="000000"/>
                      <w:sz w:val="20"/>
                      <w:szCs w:val="20"/>
                    </w:rPr>
                    <w:t>ral government,</w:t>
                  </w:r>
                </w:p>
                <w:p w:rsidR="0013598F" w:rsidRPr="00D1550C" w:rsidRDefault="0013598F" w:rsidP="0013598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 </w:t>
                  </w:r>
                  <w:r w:rsidRPr="00D1550C">
                    <w:rPr>
                      <w:rFonts w:asciiTheme="minorHAnsi" w:hAnsiTheme="minorHAnsi" w:cstheme="minorHAnsi"/>
                      <w:i/>
                      <w:color w:val="000000"/>
                      <w:sz w:val="20"/>
                      <w:szCs w:val="20"/>
                    </w:rPr>
                    <w:t>including</w:t>
                  </w:r>
                </w:p>
              </w:tc>
              <w:tc>
                <w:tcPr>
                  <w:tcW w:w="1336" w:type="dxa"/>
                  <w:shd w:val="clear" w:color="auto" w:fill="auto"/>
                  <w:vAlign w:val="center"/>
                  <w:hideMark/>
                </w:tcPr>
                <w:p w:rsidR="0013598F" w:rsidRPr="00D1550C" w:rsidRDefault="0013598F" w:rsidP="0013598F">
                  <w:pPr>
                    <w:jc w:val="center"/>
                    <w:rPr>
                      <w:rFonts w:asciiTheme="minorHAnsi" w:hAnsiTheme="minorHAnsi" w:cstheme="minorHAnsi"/>
                      <w:color w:val="000000"/>
                      <w:sz w:val="20"/>
                      <w:szCs w:val="20"/>
                    </w:rPr>
                  </w:pPr>
                  <w:r w:rsidRPr="00D1550C">
                    <w:rPr>
                      <w:sz w:val="20"/>
                      <w:szCs w:val="20"/>
                    </w:rPr>
                    <w:t>16 519,7</w:t>
                  </w:r>
                </w:p>
              </w:tc>
              <w:tc>
                <w:tcPr>
                  <w:tcW w:w="1126" w:type="dxa"/>
                  <w:shd w:val="clear" w:color="auto" w:fill="auto"/>
                  <w:vAlign w:val="center"/>
                  <w:hideMark/>
                </w:tcPr>
                <w:p w:rsidR="0013598F" w:rsidRPr="00D1550C" w:rsidRDefault="0013598F" w:rsidP="0013598F">
                  <w:pPr>
                    <w:jc w:val="center"/>
                    <w:rPr>
                      <w:sz w:val="20"/>
                      <w:szCs w:val="20"/>
                    </w:rPr>
                  </w:pPr>
                  <w:r w:rsidRPr="00D1550C">
                    <w:rPr>
                      <w:sz w:val="20"/>
                      <w:szCs w:val="20"/>
                    </w:rPr>
                    <w:t>467,6</w:t>
                  </w:r>
                </w:p>
              </w:tc>
              <w:tc>
                <w:tcPr>
                  <w:tcW w:w="1326" w:type="dxa"/>
                  <w:shd w:val="clear" w:color="auto" w:fill="auto"/>
                  <w:vAlign w:val="center"/>
                  <w:hideMark/>
                </w:tcPr>
                <w:p w:rsidR="0013598F" w:rsidRPr="00D1550C" w:rsidRDefault="0013598F" w:rsidP="0013598F">
                  <w:pPr>
                    <w:jc w:val="center"/>
                    <w:rPr>
                      <w:sz w:val="20"/>
                      <w:szCs w:val="20"/>
                    </w:rPr>
                  </w:pPr>
                  <w:r w:rsidRPr="00D1550C">
                    <w:rPr>
                      <w:sz w:val="20"/>
                      <w:szCs w:val="20"/>
                    </w:rPr>
                    <w:t>-224,4</w:t>
                  </w:r>
                </w:p>
              </w:tc>
              <w:tc>
                <w:tcPr>
                  <w:tcW w:w="1248" w:type="dxa"/>
                  <w:shd w:val="clear" w:color="auto" w:fill="auto"/>
                  <w:vAlign w:val="center"/>
                  <w:hideMark/>
                </w:tcPr>
                <w:p w:rsidR="0013598F" w:rsidRPr="00D1550C" w:rsidRDefault="0013598F" w:rsidP="0013598F">
                  <w:pPr>
                    <w:jc w:val="center"/>
                    <w:rPr>
                      <w:sz w:val="20"/>
                      <w:szCs w:val="20"/>
                    </w:rPr>
                  </w:pPr>
                  <w:r w:rsidRPr="00D1550C">
                    <w:rPr>
                      <w:sz w:val="20"/>
                      <w:szCs w:val="20"/>
                    </w:rPr>
                    <w:t>0,0</w:t>
                  </w:r>
                </w:p>
              </w:tc>
              <w:tc>
                <w:tcPr>
                  <w:tcW w:w="1342" w:type="dxa"/>
                  <w:shd w:val="clear" w:color="auto" w:fill="auto"/>
                  <w:vAlign w:val="center"/>
                  <w:hideMark/>
                </w:tcPr>
                <w:p w:rsidR="0013598F" w:rsidRPr="00D1550C" w:rsidRDefault="0013598F" w:rsidP="0013598F">
                  <w:pPr>
                    <w:jc w:val="center"/>
                    <w:rPr>
                      <w:sz w:val="20"/>
                      <w:szCs w:val="20"/>
                    </w:rPr>
                  </w:pPr>
                  <w:r w:rsidRPr="00D1550C">
                    <w:rPr>
                      <w:sz w:val="20"/>
                      <w:szCs w:val="20"/>
                    </w:rPr>
                    <w:t>16 763,0</w:t>
                  </w:r>
                </w:p>
              </w:tc>
            </w:tr>
            <w:tr w:rsidR="0013598F" w:rsidRPr="00D1550C" w:rsidTr="00E87ACA">
              <w:trPr>
                <w:trHeight w:val="79"/>
              </w:trPr>
              <w:tc>
                <w:tcPr>
                  <w:tcW w:w="3224" w:type="dxa"/>
                  <w:shd w:val="clear" w:color="auto" w:fill="auto"/>
                  <w:vAlign w:val="center"/>
                  <w:hideMark/>
                </w:tcPr>
                <w:p w:rsidR="0013598F" w:rsidRPr="00D1550C" w:rsidRDefault="0013598F" w:rsidP="0013598F">
                  <w:pPr>
                    <w:ind w:left="331" w:hanging="4"/>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 General government </w:t>
                  </w:r>
                </w:p>
              </w:tc>
              <w:tc>
                <w:tcPr>
                  <w:tcW w:w="1336" w:type="dxa"/>
                  <w:shd w:val="clear" w:color="auto" w:fill="auto"/>
                  <w:vAlign w:val="center"/>
                  <w:hideMark/>
                </w:tcPr>
                <w:p w:rsidR="0013598F" w:rsidRPr="00D1550C" w:rsidRDefault="0013598F" w:rsidP="0013598F">
                  <w:pPr>
                    <w:jc w:val="center"/>
                    <w:rPr>
                      <w:rFonts w:asciiTheme="minorHAnsi" w:hAnsiTheme="minorHAnsi" w:cstheme="minorHAnsi"/>
                      <w:color w:val="000000"/>
                      <w:sz w:val="20"/>
                      <w:szCs w:val="20"/>
                    </w:rPr>
                  </w:pPr>
                  <w:r w:rsidRPr="00D1550C">
                    <w:rPr>
                      <w:sz w:val="20"/>
                      <w:szCs w:val="20"/>
                    </w:rPr>
                    <w:t>16 141,2</w:t>
                  </w:r>
                </w:p>
              </w:tc>
              <w:tc>
                <w:tcPr>
                  <w:tcW w:w="1126" w:type="dxa"/>
                  <w:shd w:val="clear" w:color="auto" w:fill="auto"/>
                  <w:vAlign w:val="center"/>
                  <w:hideMark/>
                </w:tcPr>
                <w:p w:rsidR="0013598F" w:rsidRPr="00D1550C" w:rsidRDefault="0013598F" w:rsidP="0013598F">
                  <w:pPr>
                    <w:jc w:val="center"/>
                    <w:rPr>
                      <w:sz w:val="20"/>
                      <w:szCs w:val="20"/>
                    </w:rPr>
                  </w:pPr>
                  <w:r w:rsidRPr="00D1550C">
                    <w:rPr>
                      <w:sz w:val="20"/>
                      <w:szCs w:val="20"/>
                    </w:rPr>
                    <w:t>467,6</w:t>
                  </w:r>
                </w:p>
              </w:tc>
              <w:tc>
                <w:tcPr>
                  <w:tcW w:w="1326" w:type="dxa"/>
                  <w:shd w:val="clear" w:color="auto" w:fill="auto"/>
                  <w:vAlign w:val="center"/>
                  <w:hideMark/>
                </w:tcPr>
                <w:p w:rsidR="0013598F" w:rsidRPr="00D1550C" w:rsidRDefault="0013598F" w:rsidP="0013598F">
                  <w:pPr>
                    <w:jc w:val="center"/>
                    <w:rPr>
                      <w:sz w:val="20"/>
                      <w:szCs w:val="20"/>
                    </w:rPr>
                  </w:pPr>
                  <w:r w:rsidRPr="00D1550C">
                    <w:rPr>
                      <w:sz w:val="20"/>
                      <w:szCs w:val="20"/>
                    </w:rPr>
                    <w:t>-220,7</w:t>
                  </w:r>
                </w:p>
              </w:tc>
              <w:tc>
                <w:tcPr>
                  <w:tcW w:w="1248" w:type="dxa"/>
                  <w:shd w:val="clear" w:color="auto" w:fill="auto"/>
                  <w:vAlign w:val="center"/>
                  <w:hideMark/>
                </w:tcPr>
                <w:p w:rsidR="0013598F" w:rsidRPr="00D1550C" w:rsidRDefault="0013598F" w:rsidP="0013598F">
                  <w:pPr>
                    <w:jc w:val="center"/>
                    <w:rPr>
                      <w:sz w:val="20"/>
                      <w:szCs w:val="20"/>
                    </w:rPr>
                  </w:pPr>
                  <w:r w:rsidRPr="00D1550C">
                    <w:rPr>
                      <w:sz w:val="20"/>
                      <w:szCs w:val="20"/>
                    </w:rPr>
                    <w:t>0,0</w:t>
                  </w:r>
                </w:p>
              </w:tc>
              <w:tc>
                <w:tcPr>
                  <w:tcW w:w="1342" w:type="dxa"/>
                  <w:shd w:val="clear" w:color="auto" w:fill="auto"/>
                  <w:vAlign w:val="center"/>
                  <w:hideMark/>
                </w:tcPr>
                <w:p w:rsidR="0013598F" w:rsidRPr="00D1550C" w:rsidRDefault="0013598F" w:rsidP="0013598F">
                  <w:pPr>
                    <w:jc w:val="center"/>
                    <w:rPr>
                      <w:sz w:val="20"/>
                      <w:szCs w:val="20"/>
                    </w:rPr>
                  </w:pPr>
                  <w:r w:rsidRPr="00D1550C">
                    <w:rPr>
                      <w:sz w:val="20"/>
                      <w:szCs w:val="20"/>
                    </w:rPr>
                    <w:t>16 388,1</w:t>
                  </w:r>
                </w:p>
              </w:tc>
            </w:tr>
            <w:tr w:rsidR="0013598F" w:rsidRPr="00D1550C" w:rsidTr="00E87ACA">
              <w:trPr>
                <w:trHeight w:val="79"/>
              </w:trPr>
              <w:tc>
                <w:tcPr>
                  <w:tcW w:w="3224" w:type="dxa"/>
                  <w:shd w:val="clear" w:color="auto" w:fill="auto"/>
                  <w:vAlign w:val="center"/>
                  <w:hideMark/>
                </w:tcPr>
                <w:p w:rsidR="0013598F" w:rsidRPr="00D1550C" w:rsidRDefault="0013598F" w:rsidP="0013598F">
                  <w:pPr>
                    <w:ind w:left="331"/>
                    <w:rPr>
                      <w:rFonts w:asciiTheme="minorHAnsi" w:hAnsiTheme="minorHAnsi" w:cstheme="minorHAnsi"/>
                      <w:color w:val="000000"/>
                      <w:sz w:val="20"/>
                      <w:szCs w:val="20"/>
                    </w:rPr>
                  </w:pPr>
                  <w:r w:rsidRPr="00D1550C">
                    <w:rPr>
                      <w:rFonts w:asciiTheme="minorHAnsi" w:hAnsiTheme="minorHAnsi" w:cstheme="minorHAnsi"/>
                      <w:color w:val="000000"/>
                      <w:sz w:val="20"/>
                      <w:szCs w:val="20"/>
                    </w:rPr>
                    <w:t>- Central bank</w:t>
                  </w:r>
                </w:p>
              </w:tc>
              <w:tc>
                <w:tcPr>
                  <w:tcW w:w="1336" w:type="dxa"/>
                  <w:shd w:val="clear" w:color="auto" w:fill="auto"/>
                  <w:vAlign w:val="center"/>
                  <w:hideMark/>
                </w:tcPr>
                <w:p w:rsidR="0013598F" w:rsidRPr="00D1550C" w:rsidRDefault="0013598F" w:rsidP="0013598F">
                  <w:pPr>
                    <w:jc w:val="center"/>
                    <w:rPr>
                      <w:rFonts w:asciiTheme="minorHAnsi" w:hAnsiTheme="minorHAnsi" w:cstheme="minorHAnsi"/>
                      <w:color w:val="000000"/>
                      <w:sz w:val="20"/>
                      <w:szCs w:val="20"/>
                    </w:rPr>
                  </w:pPr>
                  <w:r w:rsidRPr="00D1550C">
                    <w:rPr>
                      <w:sz w:val="20"/>
                      <w:szCs w:val="20"/>
                    </w:rPr>
                    <w:t>378,6</w:t>
                  </w:r>
                </w:p>
              </w:tc>
              <w:tc>
                <w:tcPr>
                  <w:tcW w:w="1126" w:type="dxa"/>
                  <w:shd w:val="clear" w:color="auto" w:fill="auto"/>
                  <w:vAlign w:val="center"/>
                  <w:hideMark/>
                </w:tcPr>
                <w:p w:rsidR="0013598F" w:rsidRPr="00D1550C" w:rsidRDefault="0013598F" w:rsidP="0013598F">
                  <w:pPr>
                    <w:jc w:val="center"/>
                    <w:rPr>
                      <w:sz w:val="20"/>
                      <w:szCs w:val="20"/>
                    </w:rPr>
                  </w:pPr>
                  <w:r w:rsidRPr="00D1550C">
                    <w:rPr>
                      <w:sz w:val="20"/>
                      <w:szCs w:val="20"/>
                    </w:rPr>
                    <w:t>-0,0</w:t>
                  </w:r>
                </w:p>
              </w:tc>
              <w:tc>
                <w:tcPr>
                  <w:tcW w:w="1326" w:type="dxa"/>
                  <w:shd w:val="clear" w:color="auto" w:fill="auto"/>
                  <w:vAlign w:val="center"/>
                  <w:hideMark/>
                </w:tcPr>
                <w:p w:rsidR="0013598F" w:rsidRPr="00D1550C" w:rsidRDefault="0013598F" w:rsidP="0013598F">
                  <w:pPr>
                    <w:jc w:val="center"/>
                    <w:rPr>
                      <w:sz w:val="20"/>
                      <w:szCs w:val="20"/>
                    </w:rPr>
                  </w:pPr>
                  <w:r w:rsidRPr="00D1550C">
                    <w:rPr>
                      <w:sz w:val="20"/>
                      <w:szCs w:val="20"/>
                    </w:rPr>
                    <w:t>-3,6</w:t>
                  </w:r>
                </w:p>
              </w:tc>
              <w:tc>
                <w:tcPr>
                  <w:tcW w:w="1248" w:type="dxa"/>
                  <w:shd w:val="clear" w:color="auto" w:fill="auto"/>
                  <w:vAlign w:val="center"/>
                  <w:hideMark/>
                </w:tcPr>
                <w:p w:rsidR="0013598F" w:rsidRPr="00D1550C" w:rsidRDefault="0013598F" w:rsidP="0013598F">
                  <w:pPr>
                    <w:jc w:val="center"/>
                    <w:rPr>
                      <w:sz w:val="20"/>
                      <w:szCs w:val="20"/>
                    </w:rPr>
                  </w:pPr>
                  <w:r w:rsidRPr="00D1550C">
                    <w:rPr>
                      <w:sz w:val="20"/>
                      <w:szCs w:val="20"/>
                    </w:rPr>
                    <w:t>-</w:t>
                  </w:r>
                </w:p>
              </w:tc>
              <w:tc>
                <w:tcPr>
                  <w:tcW w:w="1342" w:type="dxa"/>
                  <w:shd w:val="clear" w:color="auto" w:fill="auto"/>
                  <w:vAlign w:val="center"/>
                  <w:hideMark/>
                </w:tcPr>
                <w:p w:rsidR="0013598F" w:rsidRPr="00D1550C" w:rsidRDefault="0013598F" w:rsidP="0013598F">
                  <w:pPr>
                    <w:jc w:val="center"/>
                    <w:rPr>
                      <w:sz w:val="20"/>
                      <w:szCs w:val="20"/>
                    </w:rPr>
                  </w:pPr>
                  <w:r w:rsidRPr="00D1550C">
                    <w:rPr>
                      <w:sz w:val="20"/>
                      <w:szCs w:val="20"/>
                    </w:rPr>
                    <w:t>374,9</w:t>
                  </w:r>
                </w:p>
              </w:tc>
            </w:tr>
            <w:tr w:rsidR="0013598F" w:rsidRPr="00D1550C" w:rsidTr="00E87ACA">
              <w:trPr>
                <w:trHeight w:val="79"/>
              </w:trPr>
              <w:tc>
                <w:tcPr>
                  <w:tcW w:w="3224" w:type="dxa"/>
                  <w:shd w:val="clear" w:color="auto" w:fill="auto"/>
                  <w:vAlign w:val="center"/>
                  <w:hideMark/>
                </w:tcPr>
                <w:p w:rsidR="0013598F" w:rsidRPr="00D1550C" w:rsidRDefault="0013598F" w:rsidP="0013598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Deposit-Taking Corporations, except Central Bank</w:t>
                  </w:r>
                </w:p>
              </w:tc>
              <w:tc>
                <w:tcPr>
                  <w:tcW w:w="1336" w:type="dxa"/>
                  <w:shd w:val="clear" w:color="auto" w:fill="auto"/>
                  <w:vAlign w:val="center"/>
                  <w:hideMark/>
                </w:tcPr>
                <w:p w:rsidR="0013598F" w:rsidRPr="00D1550C" w:rsidRDefault="0013598F" w:rsidP="0013598F">
                  <w:pPr>
                    <w:jc w:val="center"/>
                    <w:rPr>
                      <w:rFonts w:asciiTheme="minorHAnsi" w:hAnsiTheme="minorHAnsi" w:cstheme="minorHAnsi"/>
                      <w:color w:val="000000"/>
                      <w:sz w:val="20"/>
                      <w:szCs w:val="20"/>
                    </w:rPr>
                  </w:pPr>
                  <w:r w:rsidRPr="00D1550C">
                    <w:rPr>
                      <w:sz w:val="20"/>
                      <w:szCs w:val="20"/>
                    </w:rPr>
                    <w:t>6 651,1</w:t>
                  </w:r>
                </w:p>
              </w:tc>
              <w:tc>
                <w:tcPr>
                  <w:tcW w:w="1126" w:type="dxa"/>
                  <w:shd w:val="clear" w:color="auto" w:fill="auto"/>
                  <w:vAlign w:val="center"/>
                  <w:hideMark/>
                </w:tcPr>
                <w:p w:rsidR="0013598F" w:rsidRPr="00D1550C" w:rsidRDefault="0013598F" w:rsidP="0013598F">
                  <w:pPr>
                    <w:jc w:val="center"/>
                    <w:rPr>
                      <w:sz w:val="20"/>
                      <w:szCs w:val="20"/>
                    </w:rPr>
                  </w:pPr>
                  <w:r w:rsidRPr="00D1550C">
                    <w:rPr>
                      <w:sz w:val="20"/>
                      <w:szCs w:val="20"/>
                    </w:rPr>
                    <w:t>759,1</w:t>
                  </w:r>
                </w:p>
              </w:tc>
              <w:tc>
                <w:tcPr>
                  <w:tcW w:w="1326" w:type="dxa"/>
                  <w:shd w:val="clear" w:color="auto" w:fill="auto"/>
                  <w:vAlign w:val="center"/>
                  <w:hideMark/>
                </w:tcPr>
                <w:p w:rsidR="0013598F" w:rsidRPr="00D1550C" w:rsidRDefault="0013598F" w:rsidP="0013598F">
                  <w:pPr>
                    <w:jc w:val="center"/>
                    <w:rPr>
                      <w:sz w:val="20"/>
                      <w:szCs w:val="20"/>
                    </w:rPr>
                  </w:pPr>
                  <w:r w:rsidRPr="00D1550C">
                    <w:rPr>
                      <w:sz w:val="20"/>
                      <w:szCs w:val="20"/>
                    </w:rPr>
                    <w:t>-50,7</w:t>
                  </w:r>
                </w:p>
              </w:tc>
              <w:tc>
                <w:tcPr>
                  <w:tcW w:w="1248" w:type="dxa"/>
                  <w:shd w:val="clear" w:color="auto" w:fill="auto"/>
                  <w:vAlign w:val="center"/>
                  <w:hideMark/>
                </w:tcPr>
                <w:p w:rsidR="0013598F" w:rsidRPr="00D1550C" w:rsidRDefault="0013598F" w:rsidP="0013598F">
                  <w:pPr>
                    <w:jc w:val="center"/>
                    <w:rPr>
                      <w:sz w:val="20"/>
                      <w:szCs w:val="20"/>
                    </w:rPr>
                  </w:pPr>
                  <w:r w:rsidRPr="00D1550C">
                    <w:rPr>
                      <w:sz w:val="20"/>
                      <w:szCs w:val="20"/>
                    </w:rPr>
                    <w:t>-6,7</w:t>
                  </w:r>
                </w:p>
              </w:tc>
              <w:tc>
                <w:tcPr>
                  <w:tcW w:w="1342" w:type="dxa"/>
                  <w:shd w:val="clear" w:color="auto" w:fill="auto"/>
                  <w:vAlign w:val="center"/>
                  <w:hideMark/>
                </w:tcPr>
                <w:p w:rsidR="0013598F" w:rsidRPr="00D1550C" w:rsidRDefault="0013598F" w:rsidP="0013598F">
                  <w:pPr>
                    <w:jc w:val="center"/>
                    <w:rPr>
                      <w:sz w:val="20"/>
                      <w:szCs w:val="20"/>
                    </w:rPr>
                  </w:pPr>
                  <w:r w:rsidRPr="00D1550C">
                    <w:rPr>
                      <w:sz w:val="20"/>
                      <w:szCs w:val="20"/>
                    </w:rPr>
                    <w:t>7 352,8</w:t>
                  </w:r>
                </w:p>
              </w:tc>
            </w:tr>
            <w:tr w:rsidR="0013598F" w:rsidRPr="00D1550C" w:rsidTr="00E87ACA">
              <w:trPr>
                <w:trHeight w:val="79"/>
              </w:trPr>
              <w:tc>
                <w:tcPr>
                  <w:tcW w:w="3224" w:type="dxa"/>
                  <w:shd w:val="clear" w:color="auto" w:fill="auto"/>
                  <w:vAlign w:val="center"/>
                  <w:hideMark/>
                </w:tcPr>
                <w:p w:rsidR="0013598F" w:rsidRPr="00D1550C" w:rsidRDefault="0013598F" w:rsidP="0013598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Other Sectors</w:t>
                  </w:r>
                </w:p>
              </w:tc>
              <w:tc>
                <w:tcPr>
                  <w:tcW w:w="1336" w:type="dxa"/>
                  <w:shd w:val="clear" w:color="auto" w:fill="auto"/>
                  <w:vAlign w:val="center"/>
                  <w:hideMark/>
                </w:tcPr>
                <w:p w:rsidR="0013598F" w:rsidRPr="00D1550C" w:rsidRDefault="0013598F" w:rsidP="0013598F">
                  <w:pPr>
                    <w:jc w:val="center"/>
                    <w:rPr>
                      <w:rFonts w:asciiTheme="minorHAnsi" w:hAnsiTheme="minorHAnsi" w:cstheme="minorHAnsi"/>
                      <w:color w:val="000000"/>
                      <w:sz w:val="20"/>
                      <w:szCs w:val="20"/>
                    </w:rPr>
                  </w:pPr>
                  <w:r w:rsidRPr="00D1550C">
                    <w:rPr>
                      <w:sz w:val="20"/>
                      <w:szCs w:val="20"/>
                    </w:rPr>
                    <w:t>12 147,5</w:t>
                  </w:r>
                </w:p>
              </w:tc>
              <w:tc>
                <w:tcPr>
                  <w:tcW w:w="1126" w:type="dxa"/>
                  <w:shd w:val="clear" w:color="auto" w:fill="auto"/>
                  <w:vAlign w:val="center"/>
                  <w:hideMark/>
                </w:tcPr>
                <w:p w:rsidR="0013598F" w:rsidRPr="00D1550C" w:rsidRDefault="0013598F" w:rsidP="0013598F">
                  <w:pPr>
                    <w:jc w:val="center"/>
                    <w:rPr>
                      <w:sz w:val="20"/>
                      <w:szCs w:val="20"/>
                    </w:rPr>
                  </w:pPr>
                  <w:r w:rsidRPr="00D1550C">
                    <w:rPr>
                      <w:sz w:val="20"/>
                      <w:szCs w:val="20"/>
                    </w:rPr>
                    <w:t>1 474,5</w:t>
                  </w:r>
                </w:p>
              </w:tc>
              <w:tc>
                <w:tcPr>
                  <w:tcW w:w="1326" w:type="dxa"/>
                  <w:shd w:val="clear" w:color="auto" w:fill="auto"/>
                  <w:vAlign w:val="center"/>
                  <w:hideMark/>
                </w:tcPr>
                <w:p w:rsidR="0013598F" w:rsidRPr="00D1550C" w:rsidRDefault="0013598F" w:rsidP="0013598F">
                  <w:pPr>
                    <w:jc w:val="center"/>
                    <w:rPr>
                      <w:sz w:val="20"/>
                      <w:szCs w:val="20"/>
                    </w:rPr>
                  </w:pPr>
                  <w:r w:rsidRPr="00D1550C">
                    <w:rPr>
                      <w:sz w:val="20"/>
                      <w:szCs w:val="20"/>
                    </w:rPr>
                    <w:t>-41,5</w:t>
                  </w:r>
                </w:p>
              </w:tc>
              <w:tc>
                <w:tcPr>
                  <w:tcW w:w="1248" w:type="dxa"/>
                  <w:shd w:val="clear" w:color="auto" w:fill="auto"/>
                  <w:vAlign w:val="center"/>
                  <w:hideMark/>
                </w:tcPr>
                <w:p w:rsidR="0013598F" w:rsidRPr="00D1550C" w:rsidRDefault="0013598F" w:rsidP="0013598F">
                  <w:pPr>
                    <w:jc w:val="center"/>
                    <w:rPr>
                      <w:sz w:val="20"/>
                      <w:szCs w:val="20"/>
                    </w:rPr>
                  </w:pPr>
                  <w:r w:rsidRPr="00D1550C">
                    <w:rPr>
                      <w:sz w:val="20"/>
                      <w:szCs w:val="20"/>
                    </w:rPr>
                    <w:t>-30,2</w:t>
                  </w:r>
                </w:p>
              </w:tc>
              <w:tc>
                <w:tcPr>
                  <w:tcW w:w="1342" w:type="dxa"/>
                  <w:shd w:val="clear" w:color="auto" w:fill="auto"/>
                  <w:vAlign w:val="center"/>
                  <w:hideMark/>
                </w:tcPr>
                <w:p w:rsidR="0013598F" w:rsidRPr="00D1550C" w:rsidRDefault="0013598F" w:rsidP="0013598F">
                  <w:pPr>
                    <w:jc w:val="center"/>
                    <w:rPr>
                      <w:sz w:val="20"/>
                      <w:szCs w:val="20"/>
                    </w:rPr>
                  </w:pPr>
                  <w:r w:rsidRPr="00D1550C">
                    <w:rPr>
                      <w:sz w:val="20"/>
                      <w:szCs w:val="20"/>
                    </w:rPr>
                    <w:t>13 550,3</w:t>
                  </w:r>
                </w:p>
              </w:tc>
            </w:tr>
            <w:tr w:rsidR="0013598F" w:rsidRPr="00D1550C" w:rsidTr="00E87ACA">
              <w:trPr>
                <w:trHeight w:val="79"/>
              </w:trPr>
              <w:tc>
                <w:tcPr>
                  <w:tcW w:w="3224" w:type="dxa"/>
                  <w:shd w:val="clear" w:color="auto" w:fill="auto"/>
                  <w:vAlign w:val="center"/>
                  <w:hideMark/>
                </w:tcPr>
                <w:p w:rsidR="0013598F" w:rsidRPr="00D1550C" w:rsidRDefault="0013598F" w:rsidP="0013598F">
                  <w:pPr>
                    <w:rPr>
                      <w:rFonts w:asciiTheme="minorHAnsi" w:hAnsiTheme="minorHAnsi" w:cstheme="minorHAnsi"/>
                      <w:color w:val="000000"/>
                      <w:sz w:val="20"/>
                      <w:szCs w:val="20"/>
                    </w:rPr>
                  </w:pPr>
                  <w:r w:rsidRPr="00D1550C">
                    <w:rPr>
                      <w:rFonts w:asciiTheme="minorHAnsi" w:hAnsiTheme="minorHAnsi" w:cstheme="minorHAnsi"/>
                      <w:color w:val="000000"/>
                      <w:sz w:val="20"/>
                      <w:szCs w:val="20"/>
                    </w:rPr>
                    <w:t>Direct Investment: Intercompany Lending</w:t>
                  </w:r>
                </w:p>
              </w:tc>
              <w:tc>
                <w:tcPr>
                  <w:tcW w:w="1336" w:type="dxa"/>
                  <w:shd w:val="clear" w:color="auto" w:fill="auto"/>
                  <w:vAlign w:val="center"/>
                  <w:hideMark/>
                </w:tcPr>
                <w:p w:rsidR="0013598F" w:rsidRPr="00D1550C" w:rsidRDefault="0013598F" w:rsidP="0013598F">
                  <w:pPr>
                    <w:jc w:val="center"/>
                    <w:rPr>
                      <w:rFonts w:asciiTheme="minorHAnsi" w:hAnsiTheme="minorHAnsi" w:cstheme="minorHAnsi"/>
                      <w:color w:val="000000"/>
                      <w:sz w:val="20"/>
                      <w:szCs w:val="20"/>
                    </w:rPr>
                  </w:pPr>
                  <w:r w:rsidRPr="00D1550C">
                    <w:rPr>
                      <w:sz w:val="20"/>
                      <w:szCs w:val="20"/>
                    </w:rPr>
                    <w:t>1 010,4</w:t>
                  </w:r>
                </w:p>
              </w:tc>
              <w:tc>
                <w:tcPr>
                  <w:tcW w:w="1126" w:type="dxa"/>
                  <w:shd w:val="clear" w:color="auto" w:fill="auto"/>
                  <w:vAlign w:val="center"/>
                  <w:hideMark/>
                </w:tcPr>
                <w:p w:rsidR="0013598F" w:rsidRPr="00D1550C" w:rsidRDefault="0013598F" w:rsidP="0013598F">
                  <w:pPr>
                    <w:jc w:val="center"/>
                    <w:rPr>
                      <w:sz w:val="20"/>
                      <w:szCs w:val="20"/>
                    </w:rPr>
                  </w:pPr>
                  <w:r w:rsidRPr="00D1550C">
                    <w:rPr>
                      <w:sz w:val="20"/>
                      <w:szCs w:val="20"/>
                    </w:rPr>
                    <w:t>195,1</w:t>
                  </w:r>
                </w:p>
              </w:tc>
              <w:tc>
                <w:tcPr>
                  <w:tcW w:w="1326" w:type="dxa"/>
                  <w:shd w:val="clear" w:color="auto" w:fill="auto"/>
                  <w:vAlign w:val="center"/>
                  <w:hideMark/>
                </w:tcPr>
                <w:p w:rsidR="0013598F" w:rsidRPr="00D1550C" w:rsidRDefault="0013598F" w:rsidP="0013598F">
                  <w:pPr>
                    <w:jc w:val="center"/>
                    <w:rPr>
                      <w:sz w:val="20"/>
                      <w:szCs w:val="20"/>
                    </w:rPr>
                  </w:pPr>
                  <w:r w:rsidRPr="00D1550C">
                    <w:rPr>
                      <w:sz w:val="20"/>
                      <w:szCs w:val="20"/>
                    </w:rPr>
                    <w:t>-1,9</w:t>
                  </w:r>
                </w:p>
              </w:tc>
              <w:tc>
                <w:tcPr>
                  <w:tcW w:w="1248" w:type="dxa"/>
                  <w:shd w:val="clear" w:color="auto" w:fill="auto"/>
                  <w:vAlign w:val="center"/>
                  <w:hideMark/>
                </w:tcPr>
                <w:p w:rsidR="0013598F" w:rsidRPr="00D1550C" w:rsidRDefault="0013598F" w:rsidP="0013598F">
                  <w:pPr>
                    <w:jc w:val="center"/>
                    <w:rPr>
                      <w:sz w:val="20"/>
                      <w:szCs w:val="20"/>
                    </w:rPr>
                  </w:pPr>
                  <w:r w:rsidRPr="00D1550C">
                    <w:rPr>
                      <w:sz w:val="20"/>
                      <w:szCs w:val="20"/>
                    </w:rPr>
                    <w:t>-10,3</w:t>
                  </w:r>
                </w:p>
              </w:tc>
              <w:tc>
                <w:tcPr>
                  <w:tcW w:w="1342" w:type="dxa"/>
                  <w:shd w:val="clear" w:color="auto" w:fill="auto"/>
                  <w:vAlign w:val="center"/>
                  <w:hideMark/>
                </w:tcPr>
                <w:p w:rsidR="0013598F" w:rsidRPr="00D1550C" w:rsidRDefault="0013598F" w:rsidP="0013598F">
                  <w:pPr>
                    <w:jc w:val="center"/>
                    <w:rPr>
                      <w:sz w:val="20"/>
                      <w:szCs w:val="20"/>
                    </w:rPr>
                  </w:pPr>
                  <w:r w:rsidRPr="00D1550C">
                    <w:rPr>
                      <w:sz w:val="20"/>
                      <w:szCs w:val="20"/>
                    </w:rPr>
                    <w:t>1 193,4</w:t>
                  </w:r>
                </w:p>
              </w:tc>
            </w:tr>
          </w:tbl>
          <w:p w:rsidR="00FE35E9" w:rsidRPr="00D1550C" w:rsidRDefault="00FE35E9" w:rsidP="00E87ACA">
            <w:pPr>
              <w:rPr>
                <w:rFonts w:asciiTheme="minorHAnsi" w:hAnsiTheme="minorHAnsi" w:cstheme="minorHAnsi"/>
              </w:rPr>
            </w:pPr>
          </w:p>
          <w:p w:rsidR="00FE35E9" w:rsidRPr="00D1550C" w:rsidRDefault="00FE35E9" w:rsidP="00E87ACA">
            <w:pPr>
              <w:jc w:val="right"/>
              <w:rPr>
                <w:rFonts w:asciiTheme="minorHAnsi" w:hAnsiTheme="minorHAnsi" w:cstheme="minorHAnsi"/>
              </w:rPr>
            </w:pPr>
            <w:r w:rsidRPr="00D1550C">
              <w:rPr>
                <w:rFonts w:asciiTheme="minorHAnsi" w:hAnsiTheme="minorHAnsi" w:cstheme="minorHAnsi"/>
              </w:rPr>
              <w:lastRenderedPageBreak/>
              <w:t>Figure 1</w:t>
            </w:r>
          </w:p>
          <w:p w:rsidR="00FE35E9" w:rsidRPr="00D1550C" w:rsidRDefault="00FE35E9" w:rsidP="00E87ACA">
            <w:pPr>
              <w:ind w:firstLine="741"/>
              <w:jc w:val="both"/>
              <w:rPr>
                <w:rFonts w:asciiTheme="minorHAnsi" w:hAnsiTheme="minorHAnsi" w:cstheme="minorHAnsi"/>
              </w:rPr>
            </w:pPr>
          </w:p>
          <w:p w:rsidR="00FE35E9" w:rsidRPr="00D1550C" w:rsidRDefault="00FE35E9" w:rsidP="00E87ACA">
            <w:pPr>
              <w:ind w:firstLine="741"/>
              <w:jc w:val="center"/>
              <w:rPr>
                <w:rFonts w:asciiTheme="minorHAnsi" w:hAnsiTheme="minorHAnsi" w:cstheme="minorHAnsi"/>
                <w:b/>
                <w:sz w:val="26"/>
                <w:szCs w:val="26"/>
              </w:rPr>
            </w:pPr>
            <w:r w:rsidRPr="00D1550C">
              <w:rPr>
                <w:rFonts w:asciiTheme="minorHAnsi" w:hAnsiTheme="minorHAnsi" w:cstheme="minorHAnsi"/>
                <w:b/>
                <w:sz w:val="26"/>
                <w:szCs w:val="26"/>
              </w:rPr>
              <w:t xml:space="preserve">Gross external debt by financial </w:t>
            </w:r>
            <w:r w:rsidR="0013598F">
              <w:rPr>
                <w:rFonts w:asciiTheme="minorHAnsi" w:hAnsiTheme="minorHAnsi" w:cstheme="minorHAnsi"/>
                <w:b/>
                <w:sz w:val="26"/>
                <w:szCs w:val="26"/>
              </w:rPr>
              <w:t>instruments</w:t>
            </w:r>
          </w:p>
          <w:p w:rsidR="00FE35E9" w:rsidRPr="00D1550C" w:rsidRDefault="00FE35E9" w:rsidP="00E87ACA">
            <w:pPr>
              <w:pStyle w:val="aff8"/>
              <w:spacing w:before="0" w:beforeAutospacing="0" w:after="0" w:afterAutospacing="0"/>
              <w:ind w:right="164" w:firstLine="284"/>
              <w:jc w:val="right"/>
              <w:rPr>
                <w:rFonts w:asciiTheme="minorHAnsi" w:hAnsiTheme="minorHAnsi" w:cstheme="minorHAnsi"/>
              </w:rPr>
            </w:pPr>
            <w:r w:rsidRPr="00D1550C">
              <w:rPr>
                <w:rFonts w:asciiTheme="minorHAnsi" w:hAnsiTheme="minorHAnsi" w:cstheme="minorHAnsi"/>
                <w:i/>
                <w:color w:val="000000"/>
                <w:sz w:val="20"/>
                <w:szCs w:val="20"/>
              </w:rPr>
              <w:t>(mln. doll.)</w:t>
            </w:r>
            <w:r w:rsidRPr="00D1550C">
              <w:rPr>
                <w:rFonts w:asciiTheme="minorHAnsi" w:hAnsiTheme="minorHAnsi" w:cstheme="minorHAnsi"/>
              </w:rPr>
              <w:t xml:space="preserve"> </w:t>
            </w:r>
            <w:r w:rsidR="008040E0">
              <w:rPr>
                <w:noProof/>
                <w:lang w:val="ru-RU"/>
              </w:rPr>
              <w:drawing>
                <wp:inline distT="0" distB="0" distL="0" distR="0" wp14:anchorId="6A63152E" wp14:editId="76306D55">
                  <wp:extent cx="6033770" cy="3776870"/>
                  <wp:effectExtent l="0" t="0" r="5080" b="1460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E35E9" w:rsidRPr="00D1550C" w:rsidRDefault="00FE35E9" w:rsidP="00E87ACA">
            <w:pPr>
              <w:ind w:firstLine="741"/>
              <w:jc w:val="both"/>
              <w:rPr>
                <w:rFonts w:asciiTheme="minorHAnsi" w:hAnsiTheme="minorHAnsi" w:cstheme="minorHAnsi"/>
              </w:rPr>
            </w:pPr>
          </w:p>
          <w:p w:rsidR="00E87ACA" w:rsidRPr="0013598F" w:rsidRDefault="00FE35E9" w:rsidP="00E87ACA">
            <w:pPr>
              <w:ind w:firstLine="741"/>
              <w:jc w:val="both"/>
              <w:rPr>
                <w:rFonts w:asciiTheme="minorHAnsi" w:hAnsiTheme="minorHAnsi" w:cstheme="minorHAnsi"/>
                <w:sz w:val="26"/>
                <w:szCs w:val="26"/>
              </w:rPr>
            </w:pPr>
            <w:r w:rsidRPr="0013598F">
              <w:rPr>
                <w:rFonts w:asciiTheme="minorHAnsi" w:hAnsiTheme="minorHAnsi" w:cstheme="minorHAnsi"/>
                <w:sz w:val="26"/>
                <w:szCs w:val="26"/>
              </w:rPr>
              <w:t>In the structure of gross external</w:t>
            </w:r>
            <w:r w:rsidR="00E87ACA" w:rsidRPr="0013598F">
              <w:rPr>
                <w:rFonts w:asciiTheme="minorHAnsi" w:hAnsiTheme="minorHAnsi" w:cstheme="minorHAnsi"/>
                <w:sz w:val="26"/>
                <w:szCs w:val="26"/>
              </w:rPr>
              <w:t xml:space="preserve"> debt credits and loans prevail and by the </w:t>
            </w:r>
            <w:r w:rsidR="008040E0">
              <w:rPr>
                <w:rFonts w:asciiTheme="minorHAnsi" w:hAnsiTheme="minorHAnsi" w:cstheme="minorHAnsi"/>
                <w:sz w:val="26"/>
                <w:szCs w:val="26"/>
              </w:rPr>
              <w:br/>
            </w:r>
            <w:r w:rsidR="00E87ACA" w:rsidRPr="0013598F">
              <w:rPr>
                <w:rFonts w:asciiTheme="minorHAnsi" w:hAnsiTheme="minorHAnsi" w:cstheme="minorHAnsi"/>
                <w:sz w:val="26"/>
                <w:szCs w:val="26"/>
              </w:rPr>
              <w:t xml:space="preserve">1 July </w:t>
            </w:r>
            <w:r w:rsidR="0013598F" w:rsidRPr="0013598F">
              <w:rPr>
                <w:rFonts w:asciiTheme="minorHAnsi" w:hAnsiTheme="minorHAnsi" w:cstheme="minorHAnsi"/>
                <w:sz w:val="26"/>
                <w:szCs w:val="26"/>
              </w:rPr>
              <w:t>contributed</w:t>
            </w:r>
            <w:r w:rsidR="00E87ACA" w:rsidRPr="0013598F">
              <w:rPr>
                <w:rFonts w:asciiTheme="minorHAnsi" w:hAnsiTheme="minorHAnsi" w:cstheme="minorHAnsi"/>
                <w:sz w:val="26"/>
                <w:szCs w:val="26"/>
              </w:rPr>
              <w:t xml:space="preserve"> 83% or USD 32.4 billion.</w:t>
            </w:r>
          </w:p>
          <w:p w:rsidR="00FE35E9" w:rsidRPr="0013598F" w:rsidRDefault="00FE35E9" w:rsidP="0013598F">
            <w:pPr>
              <w:ind w:firstLine="741"/>
              <w:jc w:val="both"/>
              <w:rPr>
                <w:rFonts w:asciiTheme="minorHAnsi" w:hAnsiTheme="minorHAnsi" w:cstheme="minorHAnsi"/>
                <w:sz w:val="26"/>
                <w:szCs w:val="26"/>
              </w:rPr>
            </w:pPr>
            <w:r w:rsidRPr="0013598F">
              <w:rPr>
                <w:rFonts w:asciiTheme="minorHAnsi" w:hAnsiTheme="minorHAnsi" w:cstheme="minorHAnsi"/>
                <w:sz w:val="26"/>
                <w:szCs w:val="26"/>
              </w:rPr>
              <w:t xml:space="preserve">Moreover, liabilities on debt securities also </w:t>
            </w:r>
            <w:r w:rsidR="007C7CBE" w:rsidRPr="0013598F">
              <w:rPr>
                <w:rFonts w:asciiTheme="minorHAnsi" w:hAnsiTheme="minorHAnsi" w:cstheme="minorHAnsi"/>
                <w:sz w:val="26"/>
                <w:szCs w:val="26"/>
              </w:rPr>
              <w:t>increased</w:t>
            </w:r>
            <w:r w:rsidRPr="0013598F">
              <w:rPr>
                <w:rFonts w:asciiTheme="minorHAnsi" w:hAnsiTheme="minorHAnsi" w:cstheme="minorHAnsi"/>
                <w:sz w:val="26"/>
                <w:szCs w:val="26"/>
              </w:rPr>
              <w:t xml:space="preserve"> compared to the beginning of the year, due to </w:t>
            </w:r>
            <w:r w:rsidR="007C7CBE" w:rsidRPr="0013598F">
              <w:rPr>
                <w:rFonts w:asciiTheme="minorHAnsi" w:hAnsiTheme="minorHAnsi" w:cstheme="minorHAnsi"/>
                <w:sz w:val="26"/>
                <w:szCs w:val="26"/>
              </w:rPr>
              <w:t xml:space="preserve">placement securities in international financial markets by the </w:t>
            </w:r>
            <w:r w:rsidR="0013598F" w:rsidRPr="0013598F">
              <w:rPr>
                <w:rFonts w:asciiTheme="minorHAnsi" w:hAnsiTheme="minorHAnsi" w:cstheme="minorHAnsi"/>
                <w:sz w:val="26"/>
                <w:szCs w:val="26"/>
              </w:rPr>
              <w:t xml:space="preserve">Ipoteka bank </w:t>
            </w:r>
            <w:r w:rsidR="008040E0">
              <w:rPr>
                <w:rFonts w:asciiTheme="minorHAnsi" w:hAnsiTheme="minorHAnsi" w:cstheme="minorHAnsi"/>
                <w:sz w:val="26"/>
                <w:szCs w:val="26"/>
              </w:rPr>
              <w:br/>
            </w:r>
            <w:r w:rsidR="0013598F" w:rsidRPr="0013598F">
              <w:rPr>
                <w:rFonts w:asciiTheme="minorHAnsi" w:hAnsiTheme="minorHAnsi" w:cstheme="minorHAnsi"/>
                <w:sz w:val="26"/>
                <w:szCs w:val="26"/>
              </w:rPr>
              <w:t>(</w:t>
            </w:r>
            <w:r w:rsidR="007C7CBE" w:rsidRPr="0013598F">
              <w:rPr>
                <w:rFonts w:asciiTheme="minorHAnsi" w:hAnsiTheme="minorHAnsi" w:cstheme="minorHAnsi"/>
                <w:sz w:val="26"/>
                <w:szCs w:val="26"/>
              </w:rPr>
              <w:t>UZS 785 billion for a period of 3 ye</w:t>
            </w:r>
            <w:r w:rsidR="0013598F" w:rsidRPr="0013598F">
              <w:rPr>
                <w:rFonts w:asciiTheme="minorHAnsi" w:hAnsiTheme="minorHAnsi" w:cstheme="minorHAnsi"/>
                <w:sz w:val="26"/>
                <w:szCs w:val="26"/>
              </w:rPr>
              <w:t>ars) and “UZAUTO MOTORS” (</w:t>
            </w:r>
            <w:r w:rsidR="007C7CBE" w:rsidRPr="0013598F">
              <w:rPr>
                <w:rFonts w:asciiTheme="minorHAnsi" w:hAnsiTheme="minorHAnsi" w:cstheme="minorHAnsi"/>
                <w:sz w:val="26"/>
                <w:szCs w:val="26"/>
              </w:rPr>
              <w:t>USD 300 million for a period of 5 years)</w:t>
            </w:r>
            <w:r w:rsidRPr="0013598F">
              <w:rPr>
                <w:rFonts w:asciiTheme="minorHAnsi" w:hAnsiTheme="minorHAnsi" w:cstheme="minorHAnsi"/>
                <w:sz w:val="26"/>
                <w:szCs w:val="26"/>
              </w:rPr>
              <w:t xml:space="preserve">. The change in other liabilities </w:t>
            </w:r>
            <w:r w:rsidR="0013598F" w:rsidRPr="0013598F">
              <w:rPr>
                <w:rFonts w:asciiTheme="minorHAnsi" w:hAnsiTheme="minorHAnsi" w:cstheme="minorHAnsi"/>
                <w:sz w:val="26"/>
                <w:szCs w:val="26"/>
              </w:rPr>
              <w:t>is</w:t>
            </w:r>
            <w:r w:rsidRPr="0013598F">
              <w:rPr>
                <w:rFonts w:asciiTheme="minorHAnsi" w:hAnsiTheme="minorHAnsi" w:cstheme="minorHAnsi"/>
                <w:sz w:val="26"/>
                <w:szCs w:val="26"/>
              </w:rPr>
              <w:t xml:space="preserve"> mainly due to «Trade credit and advances» and loans from parent companies.</w:t>
            </w:r>
          </w:p>
          <w:p w:rsidR="00FE35E9" w:rsidRPr="00D1550C" w:rsidRDefault="00FE35E9" w:rsidP="00E87ACA">
            <w:pPr>
              <w:ind w:firstLine="741"/>
              <w:jc w:val="both"/>
              <w:rPr>
                <w:rFonts w:asciiTheme="minorHAnsi" w:hAnsiTheme="minorHAnsi" w:cstheme="minorHAnsi"/>
              </w:rPr>
            </w:pPr>
            <w:r w:rsidRPr="0013598F">
              <w:rPr>
                <w:rFonts w:asciiTheme="minorHAnsi" w:hAnsiTheme="minorHAnsi" w:cstheme="minorHAnsi"/>
                <w:sz w:val="26"/>
                <w:szCs w:val="26"/>
              </w:rPr>
              <w:t>The ratio of external debt to GDP, excluding other liabilities</w:t>
            </w:r>
            <w:r w:rsidR="0013598F" w:rsidRPr="0013598F">
              <w:rPr>
                <w:rFonts w:asciiTheme="minorHAnsi" w:hAnsiTheme="minorHAnsi" w:cstheme="minorHAnsi"/>
                <w:sz w:val="26"/>
                <w:szCs w:val="26"/>
              </w:rPr>
              <w:t>,</w:t>
            </w:r>
            <w:r w:rsidRPr="0013598F">
              <w:rPr>
                <w:rFonts w:asciiTheme="minorHAnsi" w:hAnsiTheme="minorHAnsi" w:cstheme="minorHAnsi"/>
                <w:sz w:val="26"/>
                <w:szCs w:val="26"/>
              </w:rPr>
              <w:t xml:space="preserve"> equals 57%.</w:t>
            </w:r>
          </w:p>
        </w:tc>
      </w:tr>
    </w:tbl>
    <w:p w:rsidR="00BE0704" w:rsidRPr="00D1550C" w:rsidRDefault="00BE0704" w:rsidP="000F2DF8">
      <w:pPr>
        <w:jc w:val="right"/>
        <w:rPr>
          <w:rFonts w:cs="Arial"/>
        </w:rPr>
        <w:sectPr w:rsidR="00BE0704" w:rsidRPr="00D1550C" w:rsidSect="00777D04">
          <w:type w:val="continuous"/>
          <w:pgSz w:w="11906" w:h="16838" w:code="9"/>
          <w:pgMar w:top="1134" w:right="851" w:bottom="851" w:left="1134" w:header="709" w:footer="0" w:gutter="0"/>
          <w:cols w:space="708"/>
          <w:titlePg/>
          <w:docGrid w:linePitch="360"/>
        </w:sectPr>
      </w:pPr>
    </w:p>
    <w:p w:rsidR="000F2DF8" w:rsidRPr="00D1550C" w:rsidRDefault="00C1522E" w:rsidP="007F7E43">
      <w:pPr>
        <w:ind w:right="-31"/>
        <w:jc w:val="right"/>
        <w:rPr>
          <w:i/>
          <w:sz w:val="22"/>
          <w:szCs w:val="22"/>
        </w:rPr>
      </w:pPr>
      <w:r w:rsidRPr="00D1550C">
        <w:rPr>
          <w:rFonts w:cs="Calibri"/>
          <w:i/>
          <w:sz w:val="22"/>
          <w:szCs w:val="22"/>
        </w:rPr>
        <w:lastRenderedPageBreak/>
        <w:t xml:space="preserve">Addenda </w:t>
      </w:r>
      <w:r w:rsidR="00AA3404" w:rsidRPr="00D1550C">
        <w:rPr>
          <w:i/>
          <w:sz w:val="22"/>
          <w:szCs w:val="22"/>
        </w:rPr>
        <w:t>1</w:t>
      </w:r>
    </w:p>
    <w:p w:rsidR="00213598" w:rsidRPr="00D1550C" w:rsidRDefault="00213598" w:rsidP="004A50A8">
      <w:pPr>
        <w:pStyle w:val="1"/>
        <w:spacing w:before="0"/>
        <w:ind w:left="709"/>
        <w:jc w:val="center"/>
        <w:rPr>
          <w:rFonts w:cs="Calibri"/>
          <w:b w:val="0"/>
          <w:sz w:val="24"/>
          <w:szCs w:val="24"/>
          <w:lang w:val="en-US"/>
        </w:rPr>
      </w:pPr>
      <w:bookmarkStart w:id="21" w:name="_Toc83291127"/>
      <w:r w:rsidRPr="00D1550C">
        <w:rPr>
          <w:rFonts w:ascii="Calibri" w:hAnsi="Calibri" w:cs="Calibri"/>
          <w:bCs w:val="0"/>
          <w:color w:val="000000"/>
          <w:sz w:val="24"/>
          <w:szCs w:val="24"/>
          <w:lang w:val="en-US"/>
        </w:rPr>
        <w:t xml:space="preserve">BALANCE </w:t>
      </w:r>
      <w:r w:rsidR="007F7E43" w:rsidRPr="00D1550C">
        <w:rPr>
          <w:rFonts w:ascii="Calibri" w:hAnsi="Calibri" w:cs="Calibri"/>
          <w:bCs w:val="0"/>
          <w:color w:val="000000"/>
          <w:sz w:val="24"/>
          <w:szCs w:val="24"/>
          <w:lang w:val="en-US"/>
        </w:rPr>
        <w:t xml:space="preserve">OF PAYMENTS IN 2019 - 2020 AND THE FIRST </w:t>
      </w:r>
      <w:r w:rsidR="00796AAD" w:rsidRPr="00D1550C">
        <w:rPr>
          <w:rFonts w:ascii="Calibri" w:hAnsi="Calibri" w:cs="Calibri"/>
          <w:bCs w:val="0"/>
          <w:color w:val="000000"/>
          <w:sz w:val="24"/>
          <w:szCs w:val="24"/>
          <w:lang w:val="en-US"/>
        </w:rPr>
        <w:t>HALF</w:t>
      </w:r>
      <w:r w:rsidR="007F7E43" w:rsidRPr="00D1550C">
        <w:rPr>
          <w:rFonts w:ascii="Calibri" w:hAnsi="Calibri" w:cs="Calibri"/>
          <w:bCs w:val="0"/>
          <w:color w:val="000000"/>
          <w:sz w:val="24"/>
          <w:szCs w:val="24"/>
          <w:lang w:val="en-US"/>
        </w:rPr>
        <w:t xml:space="preserve"> OF 2021</w:t>
      </w:r>
      <w:bookmarkEnd w:id="21"/>
    </w:p>
    <w:p w:rsidR="00213598" w:rsidRPr="00D1550C" w:rsidRDefault="00213598" w:rsidP="00213598">
      <w:pPr>
        <w:jc w:val="center"/>
        <w:rPr>
          <w:rFonts w:cs="Calibri"/>
          <w:sz w:val="22"/>
          <w:szCs w:val="22"/>
        </w:rPr>
      </w:pPr>
      <w:r w:rsidRPr="00D1550C">
        <w:rPr>
          <w:rFonts w:cs="Calibri"/>
          <w:sz w:val="22"/>
          <w:szCs w:val="22"/>
        </w:rPr>
        <w:t>(analytic presentation)</w:t>
      </w:r>
    </w:p>
    <w:p w:rsidR="00213598" w:rsidRPr="00D1550C" w:rsidRDefault="003C16F4" w:rsidP="007F7E43">
      <w:pPr>
        <w:ind w:right="-31"/>
        <w:jc w:val="right"/>
        <w:rPr>
          <w:i/>
          <w:color w:val="000000"/>
          <w:sz w:val="18"/>
          <w:szCs w:val="18"/>
        </w:rPr>
      </w:pPr>
      <w:r w:rsidRPr="00D1550C">
        <w:rPr>
          <w:i/>
          <w:color w:val="000000"/>
          <w:sz w:val="18"/>
          <w:szCs w:val="18"/>
        </w:rPr>
        <w:t xml:space="preserve"> </w:t>
      </w:r>
      <w:r w:rsidR="00213598" w:rsidRPr="00D1550C">
        <w:rPr>
          <w:i/>
          <w:color w:val="000000"/>
          <w:sz w:val="18"/>
          <w:szCs w:val="18"/>
        </w:rPr>
        <w:t>(mln. USD)</w:t>
      </w:r>
    </w:p>
    <w:tbl>
      <w:tblPr>
        <w:tblW w:w="14761" w:type="dxa"/>
        <w:tblInd w:w="137" w:type="dxa"/>
        <w:tblLook w:val="04A0" w:firstRow="1" w:lastRow="0" w:firstColumn="1" w:lastColumn="0" w:noHBand="0" w:noVBand="1"/>
      </w:tblPr>
      <w:tblGrid>
        <w:gridCol w:w="3402"/>
        <w:gridCol w:w="977"/>
        <w:gridCol w:w="841"/>
        <w:gridCol w:w="840"/>
        <w:gridCol w:w="841"/>
        <w:gridCol w:w="884"/>
        <w:gridCol w:w="933"/>
        <w:gridCol w:w="841"/>
        <w:gridCol w:w="840"/>
        <w:gridCol w:w="841"/>
        <w:gridCol w:w="840"/>
        <w:gridCol w:w="968"/>
        <w:gridCol w:w="9"/>
        <w:gridCol w:w="833"/>
        <w:gridCol w:w="863"/>
        <w:gridCol w:w="8"/>
      </w:tblGrid>
      <w:tr w:rsidR="00796AAD" w:rsidRPr="00D1550C" w:rsidTr="00027BA4">
        <w:trPr>
          <w:trHeight w:val="160"/>
          <w:tblHeader/>
        </w:trPr>
        <w:tc>
          <w:tcPr>
            <w:tcW w:w="3402" w:type="dxa"/>
            <w:vMerge w:val="restart"/>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796AAD" w:rsidRPr="00D1550C" w:rsidRDefault="00796AAD" w:rsidP="00106BE1">
            <w:pPr>
              <w:tabs>
                <w:tab w:val="left" w:pos="435"/>
              </w:tabs>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 </w:t>
            </w:r>
          </w:p>
        </w:tc>
        <w:tc>
          <w:tcPr>
            <w:tcW w:w="4383"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6AAD" w:rsidRPr="00D1550C" w:rsidRDefault="00796AAD" w:rsidP="00106BE1">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2019</w:t>
            </w:r>
          </w:p>
        </w:tc>
        <w:tc>
          <w:tcPr>
            <w:tcW w:w="429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6AAD" w:rsidRPr="00D1550C" w:rsidRDefault="00796AAD" w:rsidP="00106BE1">
            <w:pPr>
              <w:jc w:val="center"/>
              <w:rPr>
                <w:rFonts w:asciiTheme="minorHAnsi" w:hAnsiTheme="minorHAnsi" w:cstheme="minorHAnsi"/>
                <w:color w:val="000000"/>
                <w:sz w:val="18"/>
                <w:szCs w:val="18"/>
              </w:rPr>
            </w:pPr>
            <w:r w:rsidRPr="00D1550C">
              <w:rPr>
                <w:rFonts w:asciiTheme="minorHAnsi" w:hAnsiTheme="minorHAnsi" w:cstheme="minorHAnsi"/>
                <w:b/>
                <w:color w:val="000000"/>
                <w:sz w:val="18"/>
                <w:szCs w:val="18"/>
              </w:rPr>
              <w:t>2020</w:t>
            </w:r>
          </w:p>
        </w:tc>
        <w:tc>
          <w:tcPr>
            <w:tcW w:w="2681"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6AAD" w:rsidRPr="00D1550C" w:rsidRDefault="00796AAD" w:rsidP="003611D2">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2021</w:t>
            </w:r>
          </w:p>
        </w:tc>
      </w:tr>
      <w:tr w:rsidR="00796AAD" w:rsidRPr="00D1550C" w:rsidTr="00027BA4">
        <w:trPr>
          <w:gridAfter w:val="1"/>
          <w:wAfter w:w="8" w:type="dxa"/>
          <w:trHeight w:val="269"/>
          <w:tblHeader/>
        </w:trPr>
        <w:tc>
          <w:tcPr>
            <w:tcW w:w="3402" w:type="dxa"/>
            <w:vMerge/>
            <w:tcBorders>
              <w:top w:val="single" w:sz="4" w:space="0" w:color="4F81BD"/>
              <w:left w:val="single" w:sz="4" w:space="0" w:color="4F81BD"/>
              <w:bottom w:val="single" w:sz="4" w:space="0" w:color="4F81BD"/>
              <w:right w:val="single" w:sz="4" w:space="0" w:color="4F81BD"/>
            </w:tcBorders>
            <w:vAlign w:val="center"/>
            <w:hideMark/>
          </w:tcPr>
          <w:p w:rsidR="00796AAD" w:rsidRPr="00D1550C" w:rsidRDefault="00796AAD" w:rsidP="00796AAD">
            <w:pPr>
              <w:tabs>
                <w:tab w:val="left" w:pos="435"/>
              </w:tabs>
              <w:rPr>
                <w:rFonts w:asciiTheme="minorHAnsi" w:hAnsiTheme="minorHAnsi" w:cstheme="minorHAnsi"/>
                <w:color w:val="000000"/>
                <w:sz w:val="18"/>
                <w:szCs w:val="18"/>
              </w:rPr>
            </w:pPr>
          </w:p>
        </w:tc>
        <w:tc>
          <w:tcPr>
            <w:tcW w:w="977" w:type="dxa"/>
            <w:tcBorders>
              <w:top w:val="single" w:sz="4" w:space="0" w:color="5B9BD5" w:themeColor="accent1"/>
              <w:left w:val="single" w:sz="4" w:space="0" w:color="4F81BD"/>
              <w:bottom w:val="single" w:sz="4" w:space="0" w:color="4F81BD"/>
              <w:right w:val="single" w:sz="4" w:space="0" w:color="4F81BD"/>
            </w:tcBorders>
            <w:vAlign w:val="center"/>
          </w:tcPr>
          <w:p w:rsidR="00796AAD" w:rsidRPr="00D1550C" w:rsidRDefault="00796AAD" w:rsidP="00796AAD">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Year</w:t>
            </w:r>
          </w:p>
        </w:tc>
        <w:tc>
          <w:tcPr>
            <w:tcW w:w="841" w:type="dxa"/>
            <w:tcBorders>
              <w:top w:val="single" w:sz="4" w:space="0" w:color="5B9BD5" w:themeColor="accent1"/>
              <w:left w:val="single" w:sz="4" w:space="0" w:color="4F81BD"/>
              <w:bottom w:val="single" w:sz="4" w:space="0" w:color="4F81BD"/>
              <w:right w:val="single" w:sz="4" w:space="0" w:color="4F81BD"/>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Q1</w:t>
            </w:r>
          </w:p>
        </w:tc>
        <w:tc>
          <w:tcPr>
            <w:tcW w:w="840" w:type="dxa"/>
            <w:tcBorders>
              <w:top w:val="single" w:sz="4" w:space="0" w:color="5B9BD5" w:themeColor="accent1"/>
              <w:left w:val="single" w:sz="4" w:space="0" w:color="4F81BD"/>
              <w:bottom w:val="single" w:sz="4" w:space="0" w:color="4F81BD"/>
              <w:right w:val="single" w:sz="4" w:space="0" w:color="4F81BD"/>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Q2</w:t>
            </w:r>
          </w:p>
        </w:tc>
        <w:tc>
          <w:tcPr>
            <w:tcW w:w="841" w:type="dxa"/>
            <w:tcBorders>
              <w:top w:val="single" w:sz="4" w:space="0" w:color="5B9BD5" w:themeColor="accent1"/>
              <w:left w:val="single" w:sz="4" w:space="0" w:color="4F81BD"/>
              <w:bottom w:val="single" w:sz="4" w:space="0" w:color="4F81BD"/>
              <w:right w:val="single" w:sz="4" w:space="0" w:color="4F81BD"/>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Q3</w:t>
            </w:r>
          </w:p>
        </w:tc>
        <w:tc>
          <w:tcPr>
            <w:tcW w:w="884" w:type="dxa"/>
            <w:tcBorders>
              <w:top w:val="single" w:sz="4" w:space="0" w:color="5B9BD5" w:themeColor="accent1"/>
              <w:left w:val="single" w:sz="4" w:space="0" w:color="4F81BD"/>
              <w:bottom w:val="single" w:sz="4" w:space="0" w:color="4F81BD"/>
              <w:right w:val="single" w:sz="4" w:space="0" w:color="5B9BD5" w:themeColor="accent1"/>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Q4</w:t>
            </w:r>
          </w:p>
        </w:tc>
        <w:tc>
          <w:tcPr>
            <w:tcW w:w="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6AAD" w:rsidRPr="00D1550C" w:rsidRDefault="00796AAD" w:rsidP="00796AAD">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Year</w:t>
            </w:r>
          </w:p>
        </w:tc>
        <w:tc>
          <w:tcPr>
            <w:tcW w:w="841" w:type="dxa"/>
            <w:tcBorders>
              <w:top w:val="single" w:sz="4" w:space="0" w:color="4F81BD"/>
              <w:left w:val="single" w:sz="4" w:space="0" w:color="5B9BD5" w:themeColor="accent1"/>
              <w:bottom w:val="single" w:sz="4" w:space="0" w:color="4F81BD"/>
              <w:right w:val="single" w:sz="4" w:space="0" w:color="4F81BD"/>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Q1</w:t>
            </w:r>
          </w:p>
        </w:tc>
        <w:tc>
          <w:tcPr>
            <w:tcW w:w="840" w:type="dxa"/>
            <w:tcBorders>
              <w:top w:val="single" w:sz="4" w:space="0" w:color="4F81BD"/>
              <w:left w:val="single" w:sz="4" w:space="0" w:color="4F81BD"/>
              <w:bottom w:val="single" w:sz="4" w:space="0" w:color="4F81BD"/>
              <w:right w:val="single" w:sz="4" w:space="0" w:color="4F81BD"/>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Q2</w:t>
            </w:r>
          </w:p>
        </w:tc>
        <w:tc>
          <w:tcPr>
            <w:tcW w:w="841" w:type="dxa"/>
            <w:tcBorders>
              <w:top w:val="single" w:sz="4" w:space="0" w:color="4F81BD"/>
              <w:left w:val="single" w:sz="4" w:space="0" w:color="4F81BD"/>
              <w:bottom w:val="single" w:sz="4" w:space="0" w:color="4F81BD"/>
              <w:right w:val="single" w:sz="4" w:space="0" w:color="4F81BD"/>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Q3</w:t>
            </w:r>
          </w:p>
        </w:tc>
        <w:tc>
          <w:tcPr>
            <w:tcW w:w="840" w:type="dxa"/>
            <w:tcBorders>
              <w:top w:val="single" w:sz="4" w:space="0" w:color="4F81BD"/>
              <w:left w:val="single" w:sz="4" w:space="0" w:color="4F81BD"/>
              <w:bottom w:val="single" w:sz="4" w:space="0" w:color="4F81BD"/>
              <w:right w:val="single" w:sz="4" w:space="0" w:color="5B9BD5" w:themeColor="accent1"/>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Q4</w:t>
            </w:r>
          </w:p>
        </w:tc>
        <w:tc>
          <w:tcPr>
            <w:tcW w:w="9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6AAD" w:rsidRPr="00D1550C" w:rsidRDefault="00796AAD" w:rsidP="00796AAD">
            <w:pPr>
              <w:jc w:val="center"/>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Year</w:t>
            </w:r>
          </w:p>
        </w:tc>
        <w:tc>
          <w:tcPr>
            <w:tcW w:w="84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Q1</w:t>
            </w:r>
          </w:p>
        </w:tc>
        <w:tc>
          <w:tcPr>
            <w:tcW w:w="8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96AAD" w:rsidRPr="00D1550C" w:rsidRDefault="00796AAD" w:rsidP="00796AAD">
            <w:pPr>
              <w:jc w:val="center"/>
              <w:rPr>
                <w:rFonts w:asciiTheme="minorHAnsi" w:hAnsiTheme="minorHAnsi" w:cstheme="minorHAnsi"/>
                <w:color w:val="000000"/>
                <w:sz w:val="18"/>
                <w:szCs w:val="18"/>
              </w:rPr>
            </w:pPr>
            <w:r w:rsidRPr="00D1550C">
              <w:rPr>
                <w:rFonts w:asciiTheme="minorHAnsi" w:hAnsiTheme="minorHAnsi" w:cstheme="minorHAnsi"/>
                <w:color w:val="000000"/>
                <w:sz w:val="18"/>
                <w:szCs w:val="18"/>
              </w:rPr>
              <w:t>Q2</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000000" w:fill="B8CCE4"/>
            <w:noWrap/>
            <w:vAlign w:val="center"/>
            <w:hideMark/>
          </w:tcPr>
          <w:p w:rsidR="00027BA4" w:rsidRPr="00D1550C" w:rsidRDefault="00027BA4" w:rsidP="00027BA4">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 xml:space="preserve">A. Current account balance </w:t>
            </w:r>
          </w:p>
        </w:tc>
        <w:tc>
          <w:tcPr>
            <w:tcW w:w="977"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-3 366,0</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-1 046,3</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-713,1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-14,5</w:t>
            </w:r>
          </w:p>
        </w:tc>
        <w:tc>
          <w:tcPr>
            <w:tcW w:w="884"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-1 592,1</w:t>
            </w:r>
          </w:p>
        </w:tc>
        <w:tc>
          <w:tcPr>
            <w:tcW w:w="933" w:type="dxa"/>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-3 006,6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-880,3</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-1 025,0</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1 626,7</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-2 727,9</w:t>
            </w:r>
          </w:p>
        </w:tc>
        <w:tc>
          <w:tcPr>
            <w:tcW w:w="977" w:type="dxa"/>
            <w:gridSpan w:val="2"/>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-3 271,2</w:t>
            </w:r>
          </w:p>
        </w:tc>
        <w:tc>
          <w:tcPr>
            <w:tcW w:w="833" w:type="dxa"/>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-2 092,7</w:t>
            </w:r>
          </w:p>
        </w:tc>
        <w:tc>
          <w:tcPr>
            <w:tcW w:w="863" w:type="dxa"/>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-1 178,5</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Goods, credit (exports)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13 898,6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3 045,0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3 414,1</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4 146,6</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3 292,9</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12 832,2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2 609,3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2 579,2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5 616,2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2 027,5</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5 931,3</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1 933,7</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3 997,6</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Goods, debit (imports)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21 190,0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4 741,8</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5 291,7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5 528,6</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5 627,9</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19 048,3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4 291,4</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4 290,1</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4 998,3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5 468,6</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10 654,6</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4 721,8</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5 932,9</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Services, credit (exports)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3 094,8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636,1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788,6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849,6</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820,4</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1 699,5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606,8</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315,0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348,6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429,1</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952,5</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424,3</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528,2</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Services, debit (imports)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5 360,9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1 190,2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1 311,0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1 456,9</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1 402,7</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3 511,3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1 064,7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686,3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791,1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969,2</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2 040,0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845,0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1 195,0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ind w:left="142"/>
              <w:rPr>
                <w:rFonts w:asciiTheme="minorHAnsi" w:hAnsiTheme="minorHAnsi" w:cstheme="minorHAnsi"/>
                <w:i/>
                <w:iCs/>
                <w:color w:val="000000"/>
                <w:sz w:val="18"/>
                <w:szCs w:val="18"/>
              </w:rPr>
            </w:pPr>
            <w:r w:rsidRPr="00D1550C">
              <w:rPr>
                <w:rFonts w:asciiTheme="minorHAnsi" w:hAnsiTheme="minorHAnsi" w:cstheme="minorHAnsi"/>
                <w:i/>
                <w:iCs/>
                <w:color w:val="000000"/>
                <w:sz w:val="18"/>
                <w:szCs w:val="18"/>
              </w:rPr>
              <w:t xml:space="preserve">Balance on goods and services </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-9 557,4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-2 250,8</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-2 400,0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-1 989,4</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-2 917,3</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-8 027,9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-2 140,0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-2 082,1</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175,3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-3 981,1</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-5 810,9</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-3 208,8</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-2 602,1</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Primary income, credit</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2 956,9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759,8</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789,6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748,1</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659,4</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1 583,0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634,7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361,3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398,1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189,0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1 041,8</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314,5</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727,3</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Primary income, debit</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2 220,1</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418,1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401,9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487,6</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912,5</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1 773,8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393,1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427,2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464,7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488,8</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970,4</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352,6</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617,8</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ind w:left="142"/>
              <w:rPr>
                <w:rFonts w:asciiTheme="minorHAnsi" w:hAnsiTheme="minorHAnsi" w:cstheme="minorHAnsi"/>
                <w:i/>
                <w:iCs/>
                <w:color w:val="000000"/>
                <w:sz w:val="18"/>
                <w:szCs w:val="18"/>
              </w:rPr>
            </w:pPr>
            <w:r w:rsidRPr="00D1550C">
              <w:rPr>
                <w:rFonts w:asciiTheme="minorHAnsi" w:hAnsiTheme="minorHAnsi" w:cstheme="minorHAnsi"/>
                <w:i/>
                <w:iCs/>
                <w:color w:val="000000"/>
                <w:sz w:val="18"/>
                <w:szCs w:val="18"/>
              </w:rPr>
              <w:t>Balance on goods, services, and primary income</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-8 820,5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-1 909,0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-2 012,3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-1 728,9</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-3 170,3</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-8 218,6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-1 898,4</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-2 148,0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108,7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-4 280,9</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-5 739,5</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-3 246,8</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-2 492,7</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Secondary income, credit</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6 040,3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1 007,4</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1 448,1</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1 857,6</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1 727,1</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5 647,9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1 148,6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1 210,9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1 632,3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1 656,1</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2 743,6</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1 261,6</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1 482,0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noWrap/>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Secondary income, debit</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585,7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144,7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148,9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143,3</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148,8</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435,8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130,5</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87,9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114,3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103,1</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275,3</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107,5</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167,8</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000000" w:fill="B8CCE4"/>
            <w:vAlign w:val="center"/>
            <w:hideMark/>
          </w:tcPr>
          <w:p w:rsidR="00027BA4" w:rsidRPr="00D1550C" w:rsidRDefault="00027BA4" w:rsidP="00027BA4">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B. Capital account (excluding reserve assets)</w:t>
            </w:r>
          </w:p>
        </w:tc>
        <w:tc>
          <w:tcPr>
            <w:tcW w:w="977"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254,0</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135,1</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34,6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77,1</w:t>
            </w:r>
          </w:p>
        </w:tc>
        <w:tc>
          <w:tcPr>
            <w:tcW w:w="884"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7,1</w:t>
            </w:r>
          </w:p>
        </w:tc>
        <w:tc>
          <w:tcPr>
            <w:tcW w:w="9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25,2</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0,2</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15,0</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10,0</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Capital account, credit</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254,0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135,1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34,6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77,1</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7,1</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25,2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15,0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Capital account, debit</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Balance on capital account and current account</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-3 112,0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-911,2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-678,5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62,6</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-1 584,9</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-2 981,4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-880,2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-1 010,0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1 636,7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-2 727,9</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-3 271,2</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-2 092,7</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-1 178,5</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000000" w:fill="B8CCE4"/>
            <w:vAlign w:val="center"/>
            <w:hideMark/>
          </w:tcPr>
          <w:p w:rsidR="00027BA4" w:rsidRPr="00D1550C" w:rsidRDefault="00027BA4" w:rsidP="00027BA4">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C. Financial account</w:t>
            </w:r>
          </w:p>
        </w:tc>
        <w:tc>
          <w:tcPr>
            <w:tcW w:w="977"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-6 471,7</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-2 317,2</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-768,8</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-987,5</w:t>
            </w:r>
          </w:p>
        </w:tc>
        <w:tc>
          <w:tcPr>
            <w:tcW w:w="884"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-2 398,3</w:t>
            </w:r>
          </w:p>
        </w:tc>
        <w:tc>
          <w:tcPr>
            <w:tcW w:w="9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-5 514,7</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-1 323,6</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-1 546,1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431,8</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-3 076,8</w:t>
            </w:r>
          </w:p>
        </w:tc>
        <w:tc>
          <w:tcPr>
            <w:tcW w:w="977" w:type="dxa"/>
            <w:gridSpan w:val="2"/>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-2 839,8</w:t>
            </w:r>
          </w:p>
        </w:tc>
        <w:tc>
          <w:tcPr>
            <w:tcW w:w="8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-766,4</w:t>
            </w:r>
          </w:p>
        </w:tc>
        <w:tc>
          <w:tcPr>
            <w:tcW w:w="86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b/>
                <w:color w:val="000000"/>
                <w:sz w:val="18"/>
                <w:szCs w:val="18"/>
              </w:rPr>
            </w:pPr>
            <w:r w:rsidRPr="00D1550C">
              <w:rPr>
                <w:rFonts w:asciiTheme="minorHAnsi" w:hAnsiTheme="minorHAnsi" w:cstheme="minorHAnsi"/>
                <w:b/>
                <w:color w:val="000000"/>
                <w:sz w:val="18"/>
                <w:szCs w:val="18"/>
              </w:rPr>
              <w:t>-2 073,4</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assets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3,1</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0,8</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11,3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0,7</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1,2</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liabilities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2 316,5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221,3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832,1</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448,9</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814,2</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1 731,5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244,6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448,3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369,3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669,2</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1 123,7</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251,6</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872,1</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 assets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Equity and investment fund shares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securities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 liabilities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1 345,7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1 009,7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25,5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-8,9</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319,5</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1 389,4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1,4</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11,2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1 380,8</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384,5</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12,3</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372,2</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Equity and investment fund shares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29,2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12,8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3,8</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8,6</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32,2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15,8</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4,5</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0,7</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3,8</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securities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1 316,5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1 005,6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12,7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-12,7</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310,9</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1 357,1</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1 365,0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380,0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11,6</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368,4</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Financial derivatives (other than reserves)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0,4</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0,3</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1,8</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3,2</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6,2</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3,2</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lastRenderedPageBreak/>
              <w:t>Financial derivatives: assets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Financial derivatives: liabilities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-0,4</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-0,3</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-1,8</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-3,2</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-6,2</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-3,2</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 assets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2 627,2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-8,9</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1 198,9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64,1</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1 373,1</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5 265,5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601,0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427,6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2 301,5</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1 935,4</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982,1</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355,4</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626,7</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equity instruments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instruments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2 626,9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-8,9</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1 198,6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64,1</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1 373,1</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5 265,2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601,0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427,3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2 301,5</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1 935,4</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981,5</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354,8</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626,7</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284" w:firstLineChars="12" w:firstLine="22"/>
              <w:rPr>
                <w:rFonts w:asciiTheme="minorHAnsi" w:hAnsiTheme="minorHAnsi" w:cstheme="minorHAnsi"/>
                <w:color w:val="000000"/>
                <w:sz w:val="18"/>
                <w:szCs w:val="18"/>
              </w:rPr>
            </w:pPr>
            <w:r w:rsidRPr="00D1550C">
              <w:rPr>
                <w:rFonts w:asciiTheme="minorHAnsi" w:hAnsiTheme="minorHAnsi" w:cstheme="minorHAnsi"/>
                <w:color w:val="000000"/>
                <w:sz w:val="18"/>
                <w:szCs w:val="18"/>
              </w:rPr>
              <w:t>Central bank</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Deposit-taking corporations (except the central bank)</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-1 060,7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-44,3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-614,5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-426,0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24,1</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620,2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79,8</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-194,7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-246,7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981,8</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-327,5</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-117,5</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-210,0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General government</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-3,5</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-2,1</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-21,8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-5,5</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-5,1</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-10,1</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-5,7</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-4,5</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sectors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3 695,4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38,9</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1 814,7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490,8</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1 351,0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4 666,7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526,7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627,0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2 554,3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958,7</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1 319,2</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478,0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841,2</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426"/>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financial corporations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-9,8</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0,3</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426"/>
              <w:rPr>
                <w:rFonts w:asciiTheme="minorHAnsi" w:hAnsiTheme="minorHAnsi" w:cstheme="minorHAnsi"/>
                <w:color w:val="000000"/>
                <w:sz w:val="18"/>
                <w:szCs w:val="18"/>
              </w:rPr>
            </w:pPr>
            <w:r w:rsidRPr="00D1550C">
              <w:rPr>
                <w:rFonts w:asciiTheme="minorHAnsi" w:hAnsiTheme="minorHAnsi" w:cstheme="minorHAnsi"/>
                <w:color w:val="000000"/>
                <w:sz w:val="18"/>
                <w:szCs w:val="18"/>
              </w:rPr>
              <w:t>Nonfinancial corporations, households, and NPISHs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3 704,8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48,7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1 814,7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490,4</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1 351,0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4 667,3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527,3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627,0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2 554,3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958,7</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1 319,2</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478,0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841,2</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 liabilities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5 444,0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1 078,6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1 112,5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612,9</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2 640,1</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7 677,0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1 688,2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1 516,6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1 506,3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2 965,9</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2 321,2</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861,8</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1 459,4</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equity</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SDR allocation</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-0,1</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-0,1</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instruments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5 444,2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1 078,6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1 112,5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613,0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2 640,2</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7 677,4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1 688,4</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1 516,8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1 506,3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2 965,9</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2 321,2</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861,8</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1 459,4</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Central bank</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Deposit-taking corporations (except the entral bank)</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1 785,8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295,0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158,3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447,3</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885,3</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2 743,1</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789,1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779,3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400,2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774,5</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681,4</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499,0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182,4</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General government</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2 842,4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759,2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367,6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475,1</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1 240,4</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2 919,0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167,1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427,9</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892,5</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1 431,4</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467,6</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51,0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416,6</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sectors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816,0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24,4</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586,5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-309,4</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514,5</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2 015,3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732,2</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309,6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213,5</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760,0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1 172,2</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311,8</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860,5</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Chars="177" w:left="425"/>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financial corporations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3,3</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0,6</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4,3</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0,9</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-1,7</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2,6</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2,6</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Chars="177" w:left="425"/>
              <w:rPr>
                <w:rFonts w:asciiTheme="minorHAnsi" w:hAnsiTheme="minorHAnsi" w:cstheme="minorHAnsi"/>
                <w:color w:val="000000"/>
                <w:sz w:val="18"/>
                <w:szCs w:val="18"/>
              </w:rPr>
            </w:pPr>
            <w:r w:rsidRPr="00D1550C">
              <w:rPr>
                <w:rFonts w:asciiTheme="minorHAnsi" w:hAnsiTheme="minorHAnsi" w:cstheme="minorHAnsi"/>
                <w:color w:val="000000"/>
                <w:sz w:val="18"/>
                <w:szCs w:val="18"/>
              </w:rPr>
              <w:t>Nonfinancial corporations, households, and PISHs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812,7</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25,0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587,6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-310,0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510,2</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2 013,5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731,3</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308,2</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212,4</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761,7</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1 169,6</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309,1</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860,5</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000000" w:fill="B8CCE4"/>
            <w:vAlign w:val="center"/>
            <w:hideMark/>
          </w:tcPr>
          <w:p w:rsidR="00027BA4" w:rsidRPr="00D1550C" w:rsidRDefault="00027BA4" w:rsidP="00027BA4">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D. Net Errors and Omissions</w:t>
            </w:r>
          </w:p>
        </w:tc>
        <w:tc>
          <w:tcPr>
            <w:tcW w:w="977"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-1 953,1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-631,0</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-493,9</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-759,4</w:t>
            </w:r>
          </w:p>
        </w:tc>
        <w:tc>
          <w:tcPr>
            <w:tcW w:w="884"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-68,8</w:t>
            </w:r>
          </w:p>
        </w:tc>
        <w:tc>
          <w:tcPr>
            <w:tcW w:w="9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-1 136,7</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-442,8</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-885,2</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767,9</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-576,7</w:t>
            </w:r>
          </w:p>
        </w:tc>
        <w:tc>
          <w:tcPr>
            <w:tcW w:w="977" w:type="dxa"/>
            <w:gridSpan w:val="2"/>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-350,3</w:t>
            </w:r>
          </w:p>
        </w:tc>
        <w:tc>
          <w:tcPr>
            <w:tcW w:w="8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37,9</w:t>
            </w:r>
          </w:p>
        </w:tc>
        <w:tc>
          <w:tcPr>
            <w:tcW w:w="86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-388,2</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000000" w:fill="B8CCE4"/>
            <w:vAlign w:val="center"/>
            <w:hideMark/>
          </w:tcPr>
          <w:p w:rsidR="00027BA4" w:rsidRPr="00D1550C" w:rsidRDefault="00027BA4" w:rsidP="00027BA4">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E. Overall Balance</w:t>
            </w:r>
          </w:p>
        </w:tc>
        <w:tc>
          <w:tcPr>
            <w:tcW w:w="977"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-1 406,6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-775,0</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403,6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-290,7</w:t>
            </w:r>
          </w:p>
        </w:tc>
        <w:tc>
          <w:tcPr>
            <w:tcW w:w="884"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-744,5</w:t>
            </w:r>
          </w:p>
        </w:tc>
        <w:tc>
          <w:tcPr>
            <w:tcW w:w="9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-1 396,6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-0,7</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349,1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-1 972,9</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227,8</w:t>
            </w:r>
          </w:p>
        </w:tc>
        <w:tc>
          <w:tcPr>
            <w:tcW w:w="977" w:type="dxa"/>
            <w:gridSpan w:val="2"/>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781,7</w:t>
            </w:r>
          </w:p>
        </w:tc>
        <w:tc>
          <w:tcPr>
            <w:tcW w:w="8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1 288,4</w:t>
            </w:r>
          </w:p>
        </w:tc>
        <w:tc>
          <w:tcPr>
            <w:tcW w:w="86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-506,7</w:t>
            </w:r>
          </w:p>
        </w:tc>
      </w:tr>
      <w:tr w:rsidR="00027BA4" w:rsidRPr="00D1550C" w:rsidTr="00027BA4">
        <w:trPr>
          <w:gridAfter w:val="1"/>
          <w:wAfter w:w="8" w:type="dxa"/>
          <w:trHeight w:val="283"/>
        </w:trPr>
        <w:tc>
          <w:tcPr>
            <w:tcW w:w="3402" w:type="dxa"/>
            <w:tcBorders>
              <w:top w:val="nil"/>
              <w:left w:val="single" w:sz="4" w:space="0" w:color="4F81BD"/>
              <w:bottom w:val="single" w:sz="4" w:space="0" w:color="4F81BD"/>
              <w:right w:val="single" w:sz="4" w:space="0" w:color="4F81BD"/>
            </w:tcBorders>
            <w:shd w:val="clear" w:color="000000" w:fill="B8CCE4"/>
            <w:vAlign w:val="center"/>
            <w:hideMark/>
          </w:tcPr>
          <w:p w:rsidR="00027BA4" w:rsidRPr="00D1550C" w:rsidRDefault="00027BA4" w:rsidP="00027BA4">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F. Reserves and Related Items</w:t>
            </w:r>
          </w:p>
        </w:tc>
        <w:tc>
          <w:tcPr>
            <w:tcW w:w="977"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1 406,6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775,0</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-403,6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290,7</w:t>
            </w:r>
          </w:p>
        </w:tc>
        <w:tc>
          <w:tcPr>
            <w:tcW w:w="884"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744,5</w:t>
            </w:r>
          </w:p>
        </w:tc>
        <w:tc>
          <w:tcPr>
            <w:tcW w:w="9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1 396,6</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0,7</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-349,1</w:t>
            </w:r>
          </w:p>
        </w:tc>
        <w:tc>
          <w:tcPr>
            <w:tcW w:w="841"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1 972,9</w:t>
            </w:r>
          </w:p>
        </w:tc>
        <w:tc>
          <w:tcPr>
            <w:tcW w:w="840"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-227,8</w:t>
            </w:r>
          </w:p>
        </w:tc>
        <w:tc>
          <w:tcPr>
            <w:tcW w:w="977" w:type="dxa"/>
            <w:gridSpan w:val="2"/>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-781,7</w:t>
            </w:r>
          </w:p>
        </w:tc>
        <w:tc>
          <w:tcPr>
            <w:tcW w:w="83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-1 288,4</w:t>
            </w:r>
          </w:p>
        </w:tc>
        <w:tc>
          <w:tcPr>
            <w:tcW w:w="863" w:type="dxa"/>
            <w:tcBorders>
              <w:top w:val="nil"/>
              <w:left w:val="single" w:sz="4" w:space="0" w:color="4F81BD"/>
              <w:bottom w:val="single" w:sz="4" w:space="0" w:color="4F81BD"/>
              <w:right w:val="single" w:sz="4" w:space="0" w:color="4F81BD"/>
            </w:tcBorders>
            <w:shd w:val="clear" w:color="000000" w:fill="B8CCE4"/>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506,7</w:t>
            </w:r>
          </w:p>
        </w:tc>
      </w:tr>
      <w:tr w:rsidR="00027BA4" w:rsidRPr="00D1550C" w:rsidTr="00027BA4">
        <w:trPr>
          <w:gridAfter w:val="1"/>
          <w:wAfter w:w="8" w:type="dxa"/>
          <w:trHeight w:val="340"/>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Reserve assets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1 406,6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775,0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-403,6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290,7</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744,5</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1 771,4</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0,7</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25,5</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1 973,0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-227,8</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-781,7</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-1 288,4</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506,7</w:t>
            </w:r>
          </w:p>
        </w:tc>
      </w:tr>
      <w:tr w:rsidR="00027BA4" w:rsidRPr="00D1550C" w:rsidTr="00027BA4">
        <w:trPr>
          <w:gridAfter w:val="1"/>
          <w:wAfter w:w="8" w:type="dxa"/>
          <w:trHeight w:val="340"/>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sz w:val="18"/>
                <w:szCs w:val="18"/>
              </w:rPr>
            </w:pPr>
            <w:r w:rsidRPr="00D1550C">
              <w:rPr>
                <w:rFonts w:asciiTheme="minorHAnsi" w:hAnsiTheme="minorHAnsi" w:cstheme="minorHAnsi"/>
                <w:sz w:val="18"/>
                <w:szCs w:val="18"/>
              </w:rPr>
              <w:t>Net credits from the IMF (other than reserves)</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374,8</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374,6</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0,1</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r w:rsidR="00027BA4" w:rsidRPr="00D1550C" w:rsidTr="00027BA4">
        <w:trPr>
          <w:gridAfter w:val="1"/>
          <w:wAfter w:w="8" w:type="dxa"/>
          <w:trHeight w:val="340"/>
        </w:trPr>
        <w:tc>
          <w:tcPr>
            <w:tcW w:w="3402" w:type="dxa"/>
            <w:tcBorders>
              <w:top w:val="nil"/>
              <w:left w:val="single" w:sz="4" w:space="0" w:color="4F81BD"/>
              <w:bottom w:val="single" w:sz="4" w:space="0" w:color="4F81BD"/>
              <w:right w:val="single" w:sz="4" w:space="0" w:color="4F81BD"/>
            </w:tcBorders>
            <w:shd w:val="clear" w:color="auto" w:fill="auto"/>
            <w:vAlign w:val="center"/>
            <w:hideMark/>
          </w:tcPr>
          <w:p w:rsidR="00027BA4" w:rsidRPr="00D1550C" w:rsidRDefault="00027BA4" w:rsidP="00027BA4">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Exceptional financing</w:t>
            </w:r>
          </w:p>
        </w:tc>
        <w:tc>
          <w:tcPr>
            <w:tcW w:w="977"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84"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1"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40"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977" w:type="dxa"/>
            <w:gridSpan w:val="2"/>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3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c>
          <w:tcPr>
            <w:tcW w:w="863" w:type="dxa"/>
            <w:tcBorders>
              <w:top w:val="nil"/>
              <w:left w:val="single" w:sz="4" w:space="0" w:color="4F81BD"/>
              <w:bottom w:val="single" w:sz="4" w:space="0" w:color="4F81BD"/>
              <w:right w:val="single" w:sz="4" w:space="0" w:color="4F81BD"/>
            </w:tcBorders>
            <w:vAlign w:val="center"/>
          </w:tcPr>
          <w:p w:rsidR="00027BA4" w:rsidRPr="00D1550C" w:rsidRDefault="00027BA4" w:rsidP="00027BA4">
            <w:pPr>
              <w:jc w:val="right"/>
              <w:rPr>
                <w:rFonts w:asciiTheme="minorHAnsi" w:hAnsiTheme="minorHAnsi" w:cstheme="minorHAnsi"/>
                <w:color w:val="000000"/>
                <w:sz w:val="18"/>
                <w:szCs w:val="18"/>
              </w:rPr>
            </w:pPr>
            <w:r w:rsidRPr="00D1550C">
              <w:rPr>
                <w:rFonts w:asciiTheme="minorHAnsi" w:hAnsiTheme="minorHAnsi" w:cstheme="minorHAnsi"/>
                <w:color w:val="000000"/>
                <w:sz w:val="18"/>
                <w:szCs w:val="18"/>
              </w:rPr>
              <w:t>0,0</w:t>
            </w:r>
          </w:p>
        </w:tc>
      </w:tr>
    </w:tbl>
    <w:p w:rsidR="00B8089B" w:rsidRPr="00D1550C" w:rsidRDefault="00B8089B" w:rsidP="007F317E">
      <w:pPr>
        <w:jc w:val="both"/>
        <w:rPr>
          <w:rFonts w:cs="Calibri"/>
          <w:i/>
          <w:sz w:val="20"/>
          <w:szCs w:val="20"/>
        </w:rPr>
      </w:pPr>
      <w:r w:rsidRPr="00D1550C">
        <w:rPr>
          <w:rFonts w:cs="Calibri"/>
          <w:i/>
          <w:color w:val="000000"/>
          <w:sz w:val="20"/>
          <w:szCs w:val="20"/>
        </w:rPr>
        <w:t xml:space="preserve">This statistic report uses </w:t>
      </w:r>
      <w:r w:rsidR="00D60B5E" w:rsidRPr="00D1550C">
        <w:rPr>
          <w:rFonts w:cs="Calibri"/>
          <w:i/>
          <w:color w:val="000000"/>
          <w:sz w:val="20"/>
          <w:szCs w:val="20"/>
        </w:rPr>
        <w:t>analytic</w:t>
      </w:r>
      <w:r w:rsidRPr="00D1550C">
        <w:rPr>
          <w:rFonts w:cs="Calibri"/>
          <w:i/>
          <w:color w:val="000000"/>
          <w:sz w:val="20"/>
          <w:szCs w:val="20"/>
        </w:rPr>
        <w:t xml:space="preserve"> presentation, described in the 6th edition of the Balance of Payments Manual (BPM6).</w:t>
      </w:r>
    </w:p>
    <w:p w:rsidR="00BC15C8" w:rsidRPr="00D1550C" w:rsidRDefault="000F2DF8" w:rsidP="00A36D7A">
      <w:pPr>
        <w:ind w:right="-315"/>
        <w:jc w:val="right"/>
        <w:rPr>
          <w:i/>
        </w:rPr>
      </w:pPr>
      <w:r w:rsidRPr="00D1550C">
        <w:rPr>
          <w:rFonts w:cs="Arial"/>
          <w:highlight w:val="yellow"/>
        </w:rPr>
        <w:br w:type="page"/>
      </w:r>
      <w:r w:rsidR="00BC15C8" w:rsidRPr="00D1550C">
        <w:rPr>
          <w:rFonts w:cs="Calibri"/>
          <w:i/>
        </w:rPr>
        <w:lastRenderedPageBreak/>
        <w:t>Addenda</w:t>
      </w:r>
      <w:r w:rsidR="00BC15C8" w:rsidRPr="00D1550C">
        <w:rPr>
          <w:i/>
        </w:rPr>
        <w:t xml:space="preserve"> 2</w:t>
      </w:r>
    </w:p>
    <w:p w:rsidR="00BC15C8" w:rsidRPr="00D1550C" w:rsidRDefault="00BC15C8" w:rsidP="00BC15C8">
      <w:pPr>
        <w:pStyle w:val="1"/>
        <w:ind w:left="0"/>
        <w:jc w:val="center"/>
        <w:rPr>
          <w:rFonts w:ascii="Calibri" w:hAnsi="Calibri" w:cs="Calibri"/>
          <w:sz w:val="26"/>
          <w:szCs w:val="26"/>
          <w:lang w:val="en-US"/>
        </w:rPr>
      </w:pPr>
      <w:bookmarkStart w:id="22" w:name="_Toc83291128"/>
      <w:r w:rsidRPr="00D1550C">
        <w:rPr>
          <w:rFonts w:ascii="Calibri" w:hAnsi="Calibri" w:cs="Calibri"/>
          <w:bCs w:val="0"/>
          <w:color w:val="000000"/>
          <w:sz w:val="26"/>
          <w:szCs w:val="26"/>
          <w:lang w:val="en-US"/>
        </w:rPr>
        <w:t xml:space="preserve">INTERNATIONAL INVESTMENT POSITION </w:t>
      </w:r>
      <w:r w:rsidR="003611D2" w:rsidRPr="00D1550C">
        <w:rPr>
          <w:rFonts w:ascii="Calibri" w:hAnsi="Calibri" w:cs="Calibri"/>
          <w:bCs w:val="0"/>
          <w:color w:val="000000"/>
          <w:sz w:val="26"/>
          <w:szCs w:val="26"/>
          <w:lang w:val="en-US"/>
        </w:rPr>
        <w:t xml:space="preserve">IN 2019 - 2020 AND THE FIRST </w:t>
      </w:r>
      <w:r w:rsidR="00D93F6D" w:rsidRPr="00D1550C">
        <w:rPr>
          <w:rFonts w:ascii="Calibri" w:hAnsi="Calibri" w:cs="Calibri"/>
          <w:bCs w:val="0"/>
          <w:color w:val="000000"/>
          <w:sz w:val="26"/>
          <w:szCs w:val="26"/>
          <w:lang w:val="en-US"/>
        </w:rPr>
        <w:t>HALF</w:t>
      </w:r>
      <w:r w:rsidR="003611D2" w:rsidRPr="00D1550C">
        <w:rPr>
          <w:rFonts w:ascii="Calibri" w:hAnsi="Calibri" w:cs="Calibri"/>
          <w:bCs w:val="0"/>
          <w:color w:val="000000"/>
          <w:sz w:val="26"/>
          <w:szCs w:val="26"/>
          <w:lang w:val="en-US"/>
        </w:rPr>
        <w:t xml:space="preserve"> OF 2021</w:t>
      </w:r>
      <w:bookmarkEnd w:id="22"/>
    </w:p>
    <w:p w:rsidR="004A50A8" w:rsidRPr="00D1550C" w:rsidRDefault="004A50A8" w:rsidP="00A36D7A">
      <w:pPr>
        <w:ind w:right="-315"/>
        <w:jc w:val="right"/>
        <w:rPr>
          <w:lang w:eastAsia="x-none"/>
        </w:rPr>
      </w:pPr>
      <w:r w:rsidRPr="00D1550C">
        <w:rPr>
          <w:i/>
          <w:color w:val="000000"/>
          <w:sz w:val="20"/>
          <w:szCs w:val="20"/>
        </w:rPr>
        <w:t>(mln. USD)</w:t>
      </w:r>
    </w:p>
    <w:tbl>
      <w:tblPr>
        <w:tblW w:w="15391" w:type="dxa"/>
        <w:tblInd w:w="-147" w:type="dxa"/>
        <w:tblLook w:val="04A0" w:firstRow="1" w:lastRow="0" w:firstColumn="1" w:lastColumn="0" w:noHBand="0" w:noVBand="1"/>
      </w:tblPr>
      <w:tblGrid>
        <w:gridCol w:w="3544"/>
        <w:gridCol w:w="1077"/>
        <w:gridCol w:w="1077"/>
        <w:gridCol w:w="1077"/>
        <w:gridCol w:w="1077"/>
        <w:gridCol w:w="1077"/>
        <w:gridCol w:w="1077"/>
        <w:gridCol w:w="1077"/>
        <w:gridCol w:w="1077"/>
        <w:gridCol w:w="1077"/>
        <w:gridCol w:w="1077"/>
        <w:gridCol w:w="1077"/>
      </w:tblGrid>
      <w:tr w:rsidR="00D93F6D" w:rsidRPr="00D1550C" w:rsidTr="00D93F6D">
        <w:trPr>
          <w:trHeight w:val="334"/>
          <w:tblHeader/>
        </w:trPr>
        <w:tc>
          <w:tcPr>
            <w:tcW w:w="354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Indicators</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31.12.2018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31.03.2019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30.06.2019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30.09.2019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31.12.2019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31.03.2020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30.06.2020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30.09.2020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31.12.2020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3611D2">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31.03.2021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30.06.2021</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Assets</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49 140,4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49 692,6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52 002,2</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52 297,9</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54 874,7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56 561,4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59 068,6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62 511,4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65 917,6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64 035,8</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66 146,8</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Direct investments </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182,1</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183,0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183,7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184,7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185,4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192,6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194,5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194,0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195,1</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195,5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196,5</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Equity instruments and investment fund shares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22,1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22,2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29,6</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investor in direct investment enterprises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22,1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22,2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29,6</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investment enterprises in direct investor  (reverse investment)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between fellow enterprises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Debt instruments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160,7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161,3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162,0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162,6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163,2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163,8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164,4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165,1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165,7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166,3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166,9</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investor in direct investment enterprises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investment enterprises in  direct investor  (reverse investment)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between fellow enterprises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158,0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158,6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159,2</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159,8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160,5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161,7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162,3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162,9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163,6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164,2</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Portfolio investments</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25"/>
              <w:rPr>
                <w:rFonts w:asciiTheme="minorHAnsi" w:hAnsiTheme="minorHAnsi" w:cstheme="minorHAnsi"/>
                <w:color w:val="000000"/>
                <w:sz w:val="16"/>
                <w:szCs w:val="16"/>
              </w:rPr>
            </w:pPr>
            <w:r w:rsidRPr="00D1550C">
              <w:rPr>
                <w:rFonts w:asciiTheme="minorHAnsi" w:hAnsiTheme="minorHAnsi" w:cstheme="minorHAnsi"/>
                <w:color w:val="000000"/>
                <w:sz w:val="16"/>
                <w:szCs w:val="16"/>
              </w:rPr>
              <w:t>Equity instruments and investment fund shares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Debt securities </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Financial derivatives (other than reserves) and employee stock options </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Other investments </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21 874,4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21 869,8</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24 073,2</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24 127,7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25 514,6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26 106,1</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26 539,9</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28 854,7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30 816,0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31 161,8</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31 799,4</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Other equity instruments </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lastRenderedPageBreak/>
              <w:t>Debt instruments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21 874,4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21 869,8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24 072,9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24 127,4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25 514,3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26 105,7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26 539,2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28 854,1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30 815,3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31 160,6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31 798,2</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2 161,5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2 118,9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2 506,6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2 070,2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2 102,9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2 170,7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1 976,6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1 738,4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2 738,3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2 606,5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2 402,2</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4,0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4,5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19 708,9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19 748,0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21 562,6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22 052,7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23 408,4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23 933,0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24 560,6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27 114,5</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28 073,9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28 551,4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29 393,1</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Reserve assets </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27 081,4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27 637,2</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27 742,7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27 982,9</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29 172,1</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30 260,3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32 331,7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33 460,2</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34 904,0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32 676,0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34 148,3</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Monetary gold </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14 640,7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14 413,6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15 910,6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15 890,3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16 329,2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17 449,6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19 482,3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18 599,8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20 216,7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19 283,2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20 230,8</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Special drawing rights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370,1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369,4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362,8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368,0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363,2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364,9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372,8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383,3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377,2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379,6</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Reserve position in IMF </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reserve assets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12 070,6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12 854,2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11 462,1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11 729,8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12 474,9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12 447,5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12 484,5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14 487,6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14 303,9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13 015,5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13 537,8</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Liabilities</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27 069,6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28 880,8</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30 809,0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31 080,5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35 084,3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36 054,7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38 190,6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40 374,5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45 663,4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45 542,4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48 304,9</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Direct investments </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8 993,4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8 169,4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8 837,1</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8 615,9</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9 581,8</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9 021,0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9 313,4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9 735,5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10 261,2</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9 750,0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10 560,1</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Equity instruments and investment fund shares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8 271,8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7 431,8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8 050,2</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7 776,2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8 697,6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8 072,8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8 327,2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8 719,6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9 250,8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8 695,8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9 366,7</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investor in direct investment enterprises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8 271,8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7 431,8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8 050,2</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7 776,2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8 697,6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8 072,8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8 327,2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8 719,6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9 250,8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8 695,8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9 366,7</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investment enterprises in direct investor  (reverse investment)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between fellow enterprises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Debt instruments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721,6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737,6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786,9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839,7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884,3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948,2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986,2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1 015,9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1 010,4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1 054,2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1 193,4</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investor in direct investment enterprises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651,6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666,8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692,3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761,8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825,2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873,2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906,4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927,9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914,6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944,0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1 085,4</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of direct investment enterprises in direct investor  (reverse investment)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Investments between fellow enterprises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70,8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94,6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77,9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59,1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75,0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79,8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88,0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95,8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110,2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107,9</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Portfolio investments</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44,6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1 052,1</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1 153,8</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1 112,6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1 466,4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1 332,3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1 450,5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1 468,7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2 934,0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2 841,0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3 264,6</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Equity instruments and investment fund shares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44,6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50,4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76,5</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52,1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51,7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52,6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53,4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67,2</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61,1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65,6</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17,3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15,7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20,3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20,3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20,8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22,0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22,1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25,2</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33,2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50,8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31,4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32,2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32,5</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45,1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39,0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40,3</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0,7</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Debt securities </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1 001,7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1 077,3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1 083,4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1 414,4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1 280,6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1 398,0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1 415,4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2 866,9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2 779,9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3 199,0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lastRenderedPageBreak/>
              <w:t>Deposit enterprises, excluding the 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307,4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280,5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303,9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320,7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937,5</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945,0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1 034,0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1 001,7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1 077,3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1 083,4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1 107,0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1 000,0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1 094,1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1 094,7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1 929,4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1 834,9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1 861,2</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303,9</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0"/>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Financial derivatives (other than reserves) and employee stock options </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5,2</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3,8</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11,8</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14,9</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13,1</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 xml:space="preserve">Other investments </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18 028,0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19 654,1</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20 814,3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21 346,7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24 032,3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25 697,9</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27 419,3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29 158,4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32 451,5</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32 936,7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34 467,0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 xml:space="preserve">Other equity instruments </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Special drawing rights (Net incurrence of liabilities)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366,1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365,5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366,0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358,8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363,9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358,9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361,6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369,9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378,6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372,5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374,9</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debt instruments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17 661,9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19 288,7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20 448,3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20 987,8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23 668,5</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25 339,0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27 057,7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28 788,4</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32 072,9</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32 564,2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34 092,2</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0,0</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Deposit enterprises, excluding the Central Bank</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1 085,6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1 378,9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1 542,1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1 971,8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2 780,7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3 567,4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4 354,1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4 830,6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5 713,6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6 100,9</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6 318,8</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General government</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7 788,1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8 565,7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8 965,6</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9 396,7</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10 635,6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10 788,2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11 610,3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12 625,1</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14 211,8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14 070,1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14 526,9</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167"/>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sectors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8 788,1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9 344,0</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9 940,5</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9 619,3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10 252,3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10 983,4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11 093,4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11 332,7</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12 147,5</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12 393,2</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13 246,4</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D93F6D" w:rsidRPr="00D1550C" w:rsidRDefault="00D93F6D" w:rsidP="00D93F6D">
            <w:pPr>
              <w:ind w:left="309"/>
              <w:rPr>
                <w:rFonts w:asciiTheme="minorHAnsi" w:hAnsiTheme="minorHAnsi" w:cstheme="minorHAnsi"/>
                <w:color w:val="000000"/>
                <w:sz w:val="16"/>
                <w:szCs w:val="16"/>
              </w:rPr>
            </w:pPr>
            <w:r w:rsidRPr="00D1550C">
              <w:rPr>
                <w:rFonts w:asciiTheme="minorHAnsi" w:hAnsiTheme="minorHAnsi" w:cstheme="minorHAnsi"/>
                <w:color w:val="000000"/>
                <w:sz w:val="16"/>
                <w:szCs w:val="16"/>
              </w:rPr>
              <w:t>Other financial institutions</w:t>
            </w:r>
          </w:p>
        </w:tc>
        <w:tc>
          <w:tcPr>
            <w:tcW w:w="1077" w:type="dxa"/>
            <w:tcBorders>
              <w:top w:val="single" w:sz="4" w:space="0" w:color="4F81BD"/>
              <w:left w:val="nil"/>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18,4</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17,8</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16,8</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17,3</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25,1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26,1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27,6</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29,2</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28,3</w:t>
            </w:r>
          </w:p>
        </w:tc>
        <w:tc>
          <w:tcPr>
            <w:tcW w:w="1077" w:type="dxa"/>
            <w:tcBorders>
              <w:top w:val="single" w:sz="4" w:space="0" w:color="4F81BD"/>
              <w:left w:val="single" w:sz="4" w:space="0" w:color="4F81BD"/>
              <w:bottom w:val="single" w:sz="4" w:space="0" w:color="4F81BD"/>
              <w:right w:val="single" w:sz="4" w:space="0" w:color="4F81BD"/>
            </w:tcBorders>
            <w:shd w:val="clear" w:color="auto" w:fill="auto"/>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30,1</w:t>
            </w:r>
          </w:p>
        </w:tc>
        <w:tc>
          <w:tcPr>
            <w:tcW w:w="1077" w:type="dxa"/>
            <w:tcBorders>
              <w:top w:val="single" w:sz="4" w:space="0" w:color="4F81BD"/>
              <w:left w:val="single" w:sz="4" w:space="0" w:color="4F81BD"/>
              <w:bottom w:val="single" w:sz="4" w:space="0" w:color="4F81BD"/>
              <w:right w:val="single" w:sz="4" w:space="0" w:color="4F81BD"/>
            </w:tcBorders>
            <w:vAlign w:val="center"/>
          </w:tcPr>
          <w:p w:rsidR="00D93F6D" w:rsidRPr="00D1550C" w:rsidRDefault="00D93F6D" w:rsidP="00D93F6D">
            <w:pPr>
              <w:jc w:val="right"/>
              <w:rPr>
                <w:rFonts w:asciiTheme="minorHAnsi" w:hAnsiTheme="minorHAnsi" w:cstheme="minorHAnsi"/>
                <w:color w:val="000000"/>
                <w:sz w:val="16"/>
                <w:szCs w:val="16"/>
              </w:rPr>
            </w:pPr>
            <w:r w:rsidRPr="00D1550C">
              <w:rPr>
                <w:rFonts w:asciiTheme="minorHAnsi" w:hAnsiTheme="minorHAnsi" w:cstheme="minorHAnsi"/>
                <w:color w:val="000000"/>
                <w:sz w:val="16"/>
                <w:szCs w:val="16"/>
              </w:rPr>
              <w:t>30,4</w:t>
            </w:r>
          </w:p>
        </w:tc>
      </w:tr>
      <w:tr w:rsidR="00D93F6D" w:rsidRPr="00D1550C" w:rsidTr="00D93F6D">
        <w:trPr>
          <w:trHeight w:val="283"/>
        </w:trPr>
        <w:tc>
          <w:tcPr>
            <w:tcW w:w="3544"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Net international investment position</w:t>
            </w:r>
          </w:p>
        </w:tc>
        <w:tc>
          <w:tcPr>
            <w:tcW w:w="1077"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22 070,8</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20 811,7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21 193,3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21 217,3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19 790,4</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20 506,7</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20 877,9</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22 137,0</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20 254,1</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18 493,3</w:t>
            </w:r>
          </w:p>
        </w:tc>
        <w:tc>
          <w:tcPr>
            <w:tcW w:w="1077"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D93F6D" w:rsidRPr="00D1550C" w:rsidRDefault="00D93F6D" w:rsidP="00D93F6D">
            <w:pPr>
              <w:jc w:val="right"/>
              <w:rPr>
                <w:rFonts w:asciiTheme="minorHAnsi" w:hAnsiTheme="minorHAnsi" w:cstheme="minorHAnsi"/>
                <w:b/>
                <w:color w:val="000000"/>
                <w:sz w:val="16"/>
                <w:szCs w:val="16"/>
              </w:rPr>
            </w:pPr>
            <w:r w:rsidRPr="00D1550C">
              <w:rPr>
                <w:rFonts w:asciiTheme="minorHAnsi" w:hAnsiTheme="minorHAnsi" w:cstheme="minorHAnsi"/>
                <w:b/>
                <w:color w:val="000000"/>
                <w:sz w:val="16"/>
                <w:szCs w:val="16"/>
              </w:rPr>
              <w:t>17 841,9</w:t>
            </w:r>
          </w:p>
        </w:tc>
      </w:tr>
    </w:tbl>
    <w:p w:rsidR="003611D2" w:rsidRPr="00D1550C" w:rsidRDefault="003611D2" w:rsidP="00043E99">
      <w:pPr>
        <w:spacing w:line="192" w:lineRule="auto"/>
        <w:ind w:right="-172"/>
        <w:jc w:val="right"/>
        <w:rPr>
          <w:rFonts w:cs="Arial"/>
        </w:rPr>
      </w:pPr>
    </w:p>
    <w:p w:rsidR="003611D2" w:rsidRPr="00D1550C" w:rsidRDefault="003611D2">
      <w:pPr>
        <w:rPr>
          <w:rFonts w:cs="Arial"/>
        </w:rPr>
      </w:pPr>
      <w:r w:rsidRPr="00D1550C">
        <w:rPr>
          <w:rFonts w:cs="Arial"/>
        </w:rPr>
        <w:br w:type="page"/>
      </w:r>
    </w:p>
    <w:p w:rsidR="00043E99" w:rsidRPr="00D1550C" w:rsidRDefault="00B152E4" w:rsidP="00360E21">
      <w:pPr>
        <w:spacing w:line="192" w:lineRule="auto"/>
        <w:ind w:right="111"/>
        <w:jc w:val="right"/>
        <w:rPr>
          <w:rFonts w:asciiTheme="minorHAnsi" w:hAnsiTheme="minorHAnsi" w:cstheme="minorHAnsi"/>
          <w:i/>
          <w:sz w:val="22"/>
          <w:szCs w:val="22"/>
        </w:rPr>
      </w:pPr>
      <w:r w:rsidRPr="00D1550C">
        <w:rPr>
          <w:rFonts w:cs="Calibri"/>
          <w:i/>
        </w:rPr>
        <w:lastRenderedPageBreak/>
        <w:t>Addenda</w:t>
      </w:r>
      <w:r w:rsidRPr="00D1550C">
        <w:rPr>
          <w:i/>
        </w:rPr>
        <w:t xml:space="preserve"> 3</w:t>
      </w:r>
    </w:p>
    <w:p w:rsidR="00043E99" w:rsidRPr="00D1550C" w:rsidRDefault="0005497F" w:rsidP="00043E99">
      <w:pPr>
        <w:pStyle w:val="1"/>
        <w:spacing w:line="192" w:lineRule="auto"/>
        <w:ind w:left="0"/>
        <w:jc w:val="center"/>
        <w:rPr>
          <w:rFonts w:ascii="Calibri" w:hAnsi="Calibri" w:cs="Calibri"/>
          <w:bCs w:val="0"/>
          <w:color w:val="000000"/>
          <w:sz w:val="26"/>
          <w:szCs w:val="26"/>
          <w:lang w:val="en-US"/>
        </w:rPr>
      </w:pPr>
      <w:bookmarkStart w:id="23" w:name="_Toc66796567"/>
      <w:bookmarkStart w:id="24" w:name="_Toc83291129"/>
      <w:r w:rsidRPr="00D1550C">
        <w:rPr>
          <w:rFonts w:ascii="Calibri" w:hAnsi="Calibri" w:cs="Calibri"/>
          <w:bCs w:val="0"/>
          <w:color w:val="000000"/>
          <w:sz w:val="26"/>
          <w:szCs w:val="26"/>
          <w:lang w:val="en-US"/>
        </w:rPr>
        <w:t>GROSS EXTERNAL DEBT</w:t>
      </w:r>
      <w:r w:rsidR="00043E99" w:rsidRPr="00D1550C">
        <w:rPr>
          <w:rFonts w:ascii="Calibri" w:hAnsi="Calibri" w:cs="Calibri"/>
          <w:bCs w:val="0"/>
          <w:color w:val="000000"/>
          <w:sz w:val="26"/>
          <w:szCs w:val="26"/>
          <w:lang w:val="en-US"/>
        </w:rPr>
        <w:t xml:space="preserve"> </w:t>
      </w:r>
      <w:bookmarkEnd w:id="23"/>
      <w:r w:rsidR="003611D2" w:rsidRPr="00D1550C">
        <w:rPr>
          <w:rFonts w:ascii="Calibri" w:hAnsi="Calibri" w:cs="Calibri"/>
          <w:bCs w:val="0"/>
          <w:color w:val="000000"/>
          <w:sz w:val="26"/>
          <w:szCs w:val="26"/>
          <w:lang w:val="en-US"/>
        </w:rPr>
        <w:t xml:space="preserve">IN 2019 - 2020 AND THE FIRST </w:t>
      </w:r>
      <w:r w:rsidR="00D93F6D" w:rsidRPr="00D1550C">
        <w:rPr>
          <w:rFonts w:ascii="Calibri" w:hAnsi="Calibri" w:cs="Calibri"/>
          <w:bCs w:val="0"/>
          <w:color w:val="000000"/>
          <w:sz w:val="26"/>
          <w:szCs w:val="26"/>
          <w:lang w:val="en-US"/>
        </w:rPr>
        <w:t>HALF</w:t>
      </w:r>
      <w:r w:rsidR="003611D2" w:rsidRPr="00D1550C">
        <w:rPr>
          <w:rFonts w:ascii="Calibri" w:hAnsi="Calibri" w:cs="Calibri"/>
          <w:bCs w:val="0"/>
          <w:color w:val="000000"/>
          <w:sz w:val="26"/>
          <w:szCs w:val="26"/>
          <w:lang w:val="en-US"/>
        </w:rPr>
        <w:t xml:space="preserve"> OF 2021</w:t>
      </w:r>
      <w:bookmarkEnd w:id="24"/>
    </w:p>
    <w:p w:rsidR="00043E99" w:rsidRPr="00D1550C" w:rsidRDefault="00043E99" w:rsidP="00360E21">
      <w:pPr>
        <w:ind w:right="111"/>
        <w:jc w:val="right"/>
        <w:rPr>
          <w:rFonts w:asciiTheme="minorHAnsi" w:hAnsiTheme="minorHAnsi" w:cstheme="minorHAnsi"/>
          <w:sz w:val="18"/>
          <w:szCs w:val="18"/>
          <w:lang w:eastAsia="x-none"/>
        </w:rPr>
      </w:pPr>
      <w:r w:rsidRPr="00D1550C">
        <w:rPr>
          <w:rFonts w:asciiTheme="minorHAnsi" w:hAnsiTheme="minorHAnsi" w:cstheme="minorHAnsi"/>
          <w:i/>
          <w:color w:val="000000"/>
          <w:sz w:val="18"/>
          <w:szCs w:val="18"/>
        </w:rPr>
        <w:t>(</w:t>
      </w:r>
      <w:r w:rsidR="00B152E4" w:rsidRPr="00D1550C">
        <w:rPr>
          <w:rFonts w:asciiTheme="minorHAnsi" w:hAnsiTheme="minorHAnsi" w:cstheme="minorHAnsi"/>
          <w:i/>
          <w:color w:val="000000"/>
          <w:sz w:val="18"/>
          <w:szCs w:val="18"/>
        </w:rPr>
        <w:t>mln</w:t>
      </w:r>
      <w:r w:rsidRPr="00D1550C">
        <w:rPr>
          <w:rFonts w:asciiTheme="minorHAnsi" w:hAnsiTheme="minorHAnsi" w:cstheme="minorHAnsi"/>
          <w:i/>
          <w:color w:val="000000"/>
          <w:sz w:val="18"/>
          <w:szCs w:val="18"/>
        </w:rPr>
        <w:t xml:space="preserve">. </w:t>
      </w:r>
      <w:r w:rsidR="00B152E4" w:rsidRPr="00D1550C">
        <w:rPr>
          <w:rFonts w:asciiTheme="minorHAnsi" w:hAnsiTheme="minorHAnsi" w:cstheme="minorHAnsi"/>
          <w:i/>
          <w:color w:val="000000"/>
          <w:sz w:val="18"/>
          <w:szCs w:val="18"/>
        </w:rPr>
        <w:t>USD</w:t>
      </w:r>
      <w:r w:rsidRPr="00D1550C">
        <w:rPr>
          <w:rFonts w:asciiTheme="minorHAnsi" w:hAnsiTheme="minorHAnsi" w:cstheme="minorHAnsi"/>
          <w:i/>
          <w:color w:val="000000"/>
          <w:sz w:val="18"/>
          <w:szCs w:val="18"/>
        </w:rPr>
        <w:t>.)</w:t>
      </w:r>
    </w:p>
    <w:tbl>
      <w:tblPr>
        <w:tblW w:w="15593"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119"/>
        <w:gridCol w:w="1134"/>
        <w:gridCol w:w="1134"/>
        <w:gridCol w:w="1134"/>
        <w:gridCol w:w="1134"/>
        <w:gridCol w:w="1134"/>
        <w:gridCol w:w="1134"/>
        <w:gridCol w:w="1134"/>
        <w:gridCol w:w="1134"/>
        <w:gridCol w:w="1134"/>
        <w:gridCol w:w="1134"/>
        <w:gridCol w:w="1134"/>
      </w:tblGrid>
      <w:tr w:rsidR="00D93F6D" w:rsidRPr="00D1550C" w:rsidTr="00D93F6D">
        <w:trPr>
          <w:trHeight w:val="286"/>
          <w:tblHeader/>
        </w:trPr>
        <w:tc>
          <w:tcPr>
            <w:tcW w:w="3119" w:type="dxa"/>
            <w:shd w:val="clear" w:color="auto" w:fill="auto"/>
            <w:vAlign w:val="center"/>
            <w:hideMark/>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Indicators</w:t>
            </w:r>
          </w:p>
        </w:tc>
        <w:tc>
          <w:tcPr>
            <w:tcW w:w="1134" w:type="dxa"/>
            <w:vAlign w:val="center"/>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31.12.2018</w:t>
            </w:r>
          </w:p>
        </w:tc>
        <w:tc>
          <w:tcPr>
            <w:tcW w:w="1134" w:type="dxa"/>
            <w:vAlign w:val="center"/>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31.03.2019</w:t>
            </w:r>
          </w:p>
        </w:tc>
        <w:tc>
          <w:tcPr>
            <w:tcW w:w="1134" w:type="dxa"/>
            <w:vAlign w:val="center"/>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30.06.2019</w:t>
            </w:r>
          </w:p>
        </w:tc>
        <w:tc>
          <w:tcPr>
            <w:tcW w:w="1134" w:type="dxa"/>
            <w:vAlign w:val="center"/>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30.09.2019</w:t>
            </w:r>
          </w:p>
        </w:tc>
        <w:tc>
          <w:tcPr>
            <w:tcW w:w="1134" w:type="dxa"/>
            <w:vAlign w:val="center"/>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31.12.2019</w:t>
            </w:r>
          </w:p>
        </w:tc>
        <w:tc>
          <w:tcPr>
            <w:tcW w:w="1134" w:type="dxa"/>
            <w:vAlign w:val="center"/>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31.03.2020</w:t>
            </w:r>
          </w:p>
        </w:tc>
        <w:tc>
          <w:tcPr>
            <w:tcW w:w="1134" w:type="dxa"/>
            <w:vAlign w:val="center"/>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30.06.2020</w:t>
            </w:r>
          </w:p>
        </w:tc>
        <w:tc>
          <w:tcPr>
            <w:tcW w:w="1134" w:type="dxa"/>
            <w:vAlign w:val="center"/>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30.09.2020</w:t>
            </w:r>
          </w:p>
        </w:tc>
        <w:tc>
          <w:tcPr>
            <w:tcW w:w="1134" w:type="dxa"/>
            <w:shd w:val="clear" w:color="auto" w:fill="auto"/>
            <w:vAlign w:val="center"/>
            <w:hideMark/>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31.12.2020</w:t>
            </w:r>
          </w:p>
        </w:tc>
        <w:tc>
          <w:tcPr>
            <w:tcW w:w="1134" w:type="dxa"/>
            <w:shd w:val="clear" w:color="auto" w:fill="auto"/>
            <w:vAlign w:val="center"/>
            <w:hideMark/>
          </w:tcPr>
          <w:p w:rsidR="00D93F6D" w:rsidRPr="00D1550C" w:rsidRDefault="00D93F6D" w:rsidP="00360E21">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31.03.2021</w:t>
            </w:r>
          </w:p>
        </w:tc>
        <w:tc>
          <w:tcPr>
            <w:tcW w:w="1134" w:type="dxa"/>
            <w:vAlign w:val="center"/>
          </w:tcPr>
          <w:p w:rsidR="00D93F6D" w:rsidRPr="00D1550C" w:rsidRDefault="005F16BD" w:rsidP="005F16BD">
            <w:pPr>
              <w:jc w:val="cente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31.0</w:t>
            </w:r>
            <w:r>
              <w:rPr>
                <w:rFonts w:asciiTheme="minorHAnsi" w:hAnsiTheme="minorHAnsi" w:cstheme="minorHAnsi"/>
                <w:bCs/>
                <w:color w:val="000000"/>
                <w:sz w:val="16"/>
                <w:szCs w:val="16"/>
              </w:rPr>
              <w:t>6</w:t>
            </w:r>
            <w:r w:rsidRPr="00D1550C">
              <w:rPr>
                <w:rFonts w:asciiTheme="minorHAnsi" w:hAnsiTheme="minorHAnsi" w:cstheme="minorHAnsi"/>
                <w:bCs/>
                <w:color w:val="000000"/>
                <w:sz w:val="16"/>
                <w:szCs w:val="16"/>
              </w:rPr>
              <w:t>.2021</w:t>
            </w:r>
          </w:p>
        </w:tc>
      </w:tr>
      <w:tr w:rsidR="00D93F6D" w:rsidRPr="00D1550C" w:rsidTr="00D93F6D">
        <w:trPr>
          <w:trHeight w:val="404"/>
        </w:trPr>
        <w:tc>
          <w:tcPr>
            <w:tcW w:w="3119" w:type="dxa"/>
            <w:shd w:val="clear" w:color="auto" w:fill="BDD6EE" w:themeFill="accent1" w:themeFillTint="66"/>
            <w:vAlign w:val="center"/>
            <w:hideMark/>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External debt</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18 749,6</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21 393,4</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22 678,5</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23 269,7</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26 331,0</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27 926,7</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29 803,4</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31 589,7</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36 328,8</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36 770,7</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38 859,5</w:t>
            </w:r>
          </w:p>
        </w:tc>
      </w:tr>
      <w:tr w:rsidR="00D93F6D" w:rsidRPr="00D1550C" w:rsidTr="00D93F6D">
        <w:trPr>
          <w:trHeight w:val="266"/>
        </w:trPr>
        <w:tc>
          <w:tcPr>
            <w:tcW w:w="3119" w:type="dxa"/>
            <w:shd w:val="clear" w:color="auto" w:fill="auto"/>
            <w:vAlign w:val="center"/>
          </w:tcPr>
          <w:p w:rsidR="00D93F6D" w:rsidRPr="00D1550C" w:rsidRDefault="00D93F6D" w:rsidP="00D93F6D">
            <w:pPr>
              <w:rPr>
                <w:rFonts w:asciiTheme="minorHAnsi" w:hAnsiTheme="minorHAnsi" w:cstheme="minorHAnsi"/>
                <w:bCs/>
                <w:i/>
                <w:color w:val="000000"/>
                <w:sz w:val="16"/>
                <w:szCs w:val="16"/>
              </w:rPr>
            </w:pPr>
            <w:r w:rsidRPr="00D1550C">
              <w:rPr>
                <w:rFonts w:asciiTheme="minorHAnsi" w:hAnsiTheme="minorHAnsi" w:cstheme="minorHAnsi"/>
                <w:bCs/>
                <w:i/>
                <w:color w:val="000000"/>
                <w:sz w:val="16"/>
                <w:szCs w:val="16"/>
              </w:rPr>
              <w:t>Short term</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1 000,1</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1 100,9</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606,2</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401,1</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849,9</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1 668,7</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1 692,2</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1 893,9</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2 609,5</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2 819,7</w:t>
            </w:r>
          </w:p>
        </w:tc>
        <w:tc>
          <w:tcPr>
            <w:tcW w:w="1134" w:type="dxa"/>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2 993,9</w:t>
            </w:r>
          </w:p>
        </w:tc>
      </w:tr>
      <w:tr w:rsidR="00D93F6D" w:rsidRPr="00D1550C" w:rsidTr="00D93F6D">
        <w:trPr>
          <w:trHeight w:val="266"/>
        </w:trPr>
        <w:tc>
          <w:tcPr>
            <w:tcW w:w="3119" w:type="dxa"/>
            <w:shd w:val="clear" w:color="auto" w:fill="auto"/>
            <w:vAlign w:val="center"/>
            <w:hideMark/>
          </w:tcPr>
          <w:p w:rsidR="00D93F6D" w:rsidRPr="00D1550C" w:rsidRDefault="00D93F6D" w:rsidP="00D93F6D">
            <w:pPr>
              <w:rPr>
                <w:rFonts w:asciiTheme="minorHAnsi" w:hAnsiTheme="minorHAnsi" w:cstheme="minorHAnsi"/>
                <w:bCs/>
                <w:i/>
                <w:color w:val="000000"/>
                <w:sz w:val="16"/>
                <w:szCs w:val="16"/>
              </w:rPr>
            </w:pPr>
            <w:r w:rsidRPr="00D1550C">
              <w:rPr>
                <w:rFonts w:asciiTheme="minorHAnsi" w:hAnsiTheme="minorHAnsi" w:cstheme="minorHAnsi"/>
                <w:bCs/>
                <w:i/>
                <w:color w:val="000000"/>
                <w:sz w:val="16"/>
                <w:szCs w:val="16"/>
              </w:rPr>
              <w:t>Long term</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17 749,5</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20 292,5</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22 072,3</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22 868,6</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25 481,0</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26 258,0</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28 111,2</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29 695,8</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33 719,2</w:t>
            </w:r>
          </w:p>
        </w:tc>
        <w:tc>
          <w:tcPr>
            <w:tcW w:w="1134" w:type="dxa"/>
            <w:shd w:val="clear" w:color="auto" w:fill="auto"/>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33 951,0</w:t>
            </w:r>
          </w:p>
        </w:tc>
        <w:tc>
          <w:tcPr>
            <w:tcW w:w="1134" w:type="dxa"/>
            <w:vAlign w:val="center"/>
          </w:tcPr>
          <w:p w:rsidR="00D93F6D" w:rsidRPr="00D1550C" w:rsidRDefault="00D93F6D" w:rsidP="00D93F6D">
            <w:pPr>
              <w:jc w:val="center"/>
              <w:rPr>
                <w:rFonts w:cs="Calibri"/>
                <w:i/>
                <w:iCs/>
                <w:color w:val="000000"/>
                <w:sz w:val="16"/>
                <w:szCs w:val="16"/>
              </w:rPr>
            </w:pPr>
            <w:r w:rsidRPr="00D1550C">
              <w:rPr>
                <w:rFonts w:cs="Calibri"/>
                <w:i/>
                <w:iCs/>
                <w:color w:val="000000"/>
                <w:sz w:val="16"/>
                <w:szCs w:val="16"/>
              </w:rPr>
              <w:t>35 865,5</w:t>
            </w:r>
          </w:p>
        </w:tc>
      </w:tr>
      <w:tr w:rsidR="00D93F6D" w:rsidRPr="00D1550C" w:rsidTr="00D93F6D">
        <w:trPr>
          <w:trHeight w:val="431"/>
        </w:trPr>
        <w:tc>
          <w:tcPr>
            <w:tcW w:w="3119" w:type="dxa"/>
            <w:shd w:val="clear" w:color="auto" w:fill="BDD6EE" w:themeFill="accent1" w:themeFillTint="66"/>
            <w:vAlign w:val="center"/>
            <w:hideMark/>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General Government</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7 788,1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9 567,4</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10 042,9</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10 480,1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11 742,5</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11 788,2</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12 704,4</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13 719,8</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16 141,2</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15 905,0</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16 388,1</w:t>
            </w:r>
          </w:p>
        </w:tc>
      </w:tr>
      <w:tr w:rsidR="00D93F6D" w:rsidRPr="00D1550C" w:rsidTr="00D93F6D">
        <w:trPr>
          <w:trHeight w:val="266"/>
        </w:trPr>
        <w:tc>
          <w:tcPr>
            <w:tcW w:w="3119" w:type="dxa"/>
            <w:shd w:val="clear" w:color="auto" w:fill="DEEAF6" w:themeFill="accent1" w:themeFillTint="33"/>
            <w:vAlign w:val="center"/>
            <w:hideMark/>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DEEAF6" w:themeFill="accent1" w:themeFillTint="33"/>
            <w:vAlign w:val="center"/>
            <w:hideMark/>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7 788,1</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9 567,4</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10 042,9</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10 480,1</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11 742,5</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11 788,2</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12 704,4</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13 719,8</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16 141,2</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15 905,0</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16 388,1</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1 001,7</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1 077,3</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1 083,4</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1 107,0</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1 000,0</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1 094,1</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1 094,7</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1 929,4</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1 834,9</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1 861,2</w:t>
            </w:r>
          </w:p>
        </w:tc>
      </w:tr>
      <w:tr w:rsidR="00D93F6D" w:rsidRPr="00D1550C" w:rsidTr="00D93F6D">
        <w:trPr>
          <w:trHeight w:val="266"/>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7 788,1</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8 565,7</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8 965,6</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9 396,7</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10 635,6</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10 788,2</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11 610,3</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12 625,1</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14 211,8</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14 070,1</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14 526,9</w:t>
            </w:r>
          </w:p>
        </w:tc>
      </w:tr>
      <w:tr w:rsidR="00D93F6D" w:rsidRPr="00D1550C" w:rsidTr="00D93F6D">
        <w:trPr>
          <w:trHeight w:val="266"/>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200" w:firstLine="320"/>
              <w:jc w:val="center"/>
              <w:rPr>
                <w:rFonts w:cs="Calibri"/>
                <w:color w:val="000000"/>
                <w:sz w:val="16"/>
                <w:szCs w:val="16"/>
              </w:rPr>
            </w:pPr>
            <w:r w:rsidRPr="00D1550C">
              <w:rPr>
                <w:rFonts w:cs="Calibri"/>
                <w:color w:val="000000"/>
                <w:sz w:val="16"/>
                <w:szCs w:val="16"/>
              </w:rPr>
              <w:t>-</w:t>
            </w:r>
          </w:p>
        </w:tc>
      </w:tr>
      <w:tr w:rsidR="00D93F6D" w:rsidRPr="00D1550C" w:rsidTr="00D93F6D">
        <w:trPr>
          <w:trHeight w:val="371"/>
        </w:trPr>
        <w:tc>
          <w:tcPr>
            <w:tcW w:w="3119" w:type="dxa"/>
            <w:shd w:val="clear" w:color="auto" w:fill="BDD6EE" w:themeFill="accent1" w:themeFillTint="66"/>
            <w:vAlign w:val="center"/>
            <w:hideMark/>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Central Bank</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366,1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365,5</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366,0</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358,8</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363,9</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358,9</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361,6</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369,9</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378,6</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372,5</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374,9</w:t>
            </w:r>
          </w:p>
        </w:tc>
      </w:tr>
      <w:tr w:rsidR="00D93F6D" w:rsidRPr="00D1550C" w:rsidTr="00D93F6D">
        <w:trPr>
          <w:trHeight w:val="266"/>
        </w:trPr>
        <w:tc>
          <w:tcPr>
            <w:tcW w:w="3119" w:type="dxa"/>
            <w:shd w:val="clear" w:color="auto" w:fill="DEEAF6" w:themeFill="accent1" w:themeFillTint="33"/>
            <w:vAlign w:val="center"/>
            <w:hideMark/>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DEEAF6" w:themeFill="accent1" w:themeFillTint="33"/>
            <w:vAlign w:val="center"/>
            <w:hideMark/>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366,1</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365,5</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366,0</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358,8</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363,9</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358,9</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361,6</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369,9</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378,6</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372,5</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374,9</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366,1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365,5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366,0</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358,8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363,9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358,9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361,6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369,9</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378,6</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372,5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374,9</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lastRenderedPageBreak/>
              <w:t>Trade credit and advances 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266"/>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Прочие обязательства</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BDD6EE" w:themeFill="accent1" w:themeFillTint="66"/>
            <w:vAlign w:val="center"/>
            <w:hideMark/>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Deposit-Taking Corporations, except the Central Bank</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1 085,6</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1 378,9</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1 542,1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1 971,8</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3 088,0</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3 847,9</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4 658,0</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5 151,3</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6 651,1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7 045,9</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7 352,8</w:t>
            </w:r>
          </w:p>
        </w:tc>
      </w:tr>
      <w:tr w:rsidR="00D93F6D" w:rsidRPr="00D1550C" w:rsidTr="00D93F6D">
        <w:trPr>
          <w:trHeight w:val="300"/>
        </w:trPr>
        <w:tc>
          <w:tcPr>
            <w:tcW w:w="3119" w:type="dxa"/>
            <w:shd w:val="clear" w:color="auto" w:fill="DEEAF6" w:themeFill="accent1" w:themeFillTint="33"/>
            <w:vAlign w:val="center"/>
            <w:hideMark/>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89,3</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73,4</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86,3</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100,8</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383,0</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760,5</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967,1</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987,7</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1 431,5</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1 471,1</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1 316,5</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89,3</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73,4</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86,3</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100,8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130,9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130,9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152,8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189,1</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268,9</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249,6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234,9</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252,1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629,6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814,3</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798,6</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1 162,6</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1 221,5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1 081,6</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DEEAF6" w:themeFill="accent1" w:themeFillTint="33"/>
            <w:vAlign w:val="center"/>
            <w:hideMark/>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996,4</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1 305,5</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1 455,8</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1 870,9</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2 705,0</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3 087,5</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3 690,8</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4 163,6</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5 219,6</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5 574,8</w:t>
            </w:r>
          </w:p>
        </w:tc>
        <w:tc>
          <w:tcPr>
            <w:tcW w:w="1134" w:type="dxa"/>
            <w:shd w:val="clear" w:color="auto" w:fill="DEEAF6" w:themeFill="accent1" w:themeFillTint="33"/>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6 036,3</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19,5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7,7</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16,9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27,2</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37,0</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55,4</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54,5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84,9</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104,3</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105,9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132,6</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307,4</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280,5</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303,9</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320,7</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937,5</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945,0</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1 034,0</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976,8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1 297,8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1 438,9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1 843,7</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2 360,7</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2 751,5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3 332,4</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3 758,1</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4 177,8</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4 523,8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4 869,7</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auto"/>
            <w:vAlign w:val="center"/>
            <w:hideMark/>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BDD6EE" w:themeFill="accent1" w:themeFillTint="66"/>
            <w:vAlign w:val="center"/>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Other Sectors</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8 788,1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9 344,0</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9 940,5</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9 619,3</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10 252,3</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10 983,4</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11 093,4</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11 332,7</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12 147,5</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12 393,2</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13 550,3</w:t>
            </w:r>
          </w:p>
        </w:tc>
      </w:tr>
      <w:tr w:rsidR="00D93F6D" w:rsidRPr="00D1550C" w:rsidTr="00D93F6D">
        <w:trPr>
          <w:trHeight w:val="300"/>
        </w:trPr>
        <w:tc>
          <w:tcPr>
            <w:tcW w:w="3119" w:type="dxa"/>
            <w:shd w:val="clear" w:color="auto" w:fill="DEEAF6" w:themeFill="accent1" w:themeFillTint="33"/>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806,0</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929,7</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397,8</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139,3</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282,2</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700,4</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518,6</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663,8</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936,8</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1 098,8</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1 367,0</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56,3</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62,8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128,4</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93,5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91,6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109,4</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119,2</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128,8</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177,5</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255,0</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265,3</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749,7</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866,9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269,3</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45,8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190,6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591,0</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399,5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535,0</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759,3</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843,8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1 101,6</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DEEAF6" w:themeFill="accent1" w:themeFillTint="33"/>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7 982,1</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8 414,3</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9 542,8</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9 480,0</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9 970,1</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10 283,0</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10 574,7</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10 669,0</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11 210,7</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11 294,4</w:t>
            </w:r>
          </w:p>
        </w:tc>
        <w:tc>
          <w:tcPr>
            <w:tcW w:w="1134" w:type="dxa"/>
            <w:shd w:val="clear" w:color="auto" w:fill="DEEAF6" w:themeFill="accent1" w:themeFillTint="33"/>
            <w:vAlign w:val="center"/>
          </w:tcPr>
          <w:p w:rsidR="00D93F6D" w:rsidRPr="00D1550C" w:rsidRDefault="00D93F6D" w:rsidP="00D93F6D">
            <w:pPr>
              <w:jc w:val="center"/>
              <w:rPr>
                <w:rFonts w:cs="Calibri"/>
                <w:color w:val="000000"/>
                <w:sz w:val="16"/>
                <w:szCs w:val="16"/>
              </w:rPr>
            </w:pPr>
            <w:r w:rsidRPr="00D1550C">
              <w:rPr>
                <w:rFonts w:cs="Calibri"/>
                <w:color w:val="000000"/>
                <w:sz w:val="16"/>
                <w:szCs w:val="16"/>
              </w:rPr>
              <w:t>12 183,4</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Currency and deposits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securities 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303,9</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Loans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7 615,1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7 457,1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8 473,8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8 316,4</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8 993,5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9 262,6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9 521,6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9 628,3</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10 238,5</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10 251,5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10 758,9</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Trade credit and advances 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0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debt liabilities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367,0</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957,2</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1 068,9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1 163,6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976,6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1 020,5</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1 053,1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1 040,6</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972,2</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1 042,9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1 120,5</w:t>
            </w:r>
          </w:p>
        </w:tc>
      </w:tr>
      <w:tr w:rsidR="00D93F6D" w:rsidRPr="00D1550C" w:rsidTr="00D93F6D">
        <w:trPr>
          <w:trHeight w:val="300"/>
        </w:trPr>
        <w:tc>
          <w:tcPr>
            <w:tcW w:w="3119" w:type="dxa"/>
            <w:shd w:val="clear" w:color="auto" w:fill="BDD6EE" w:themeFill="accent1" w:themeFillTint="66"/>
            <w:vAlign w:val="center"/>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lastRenderedPageBreak/>
              <w:t>Other financial corporations</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18,4</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17,8</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16,8</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17,3</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25,1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26,1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27,6</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29,2</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28,3</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30,1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30,4</w:t>
            </w:r>
          </w:p>
        </w:tc>
      </w:tr>
      <w:tr w:rsidR="00D93F6D" w:rsidRPr="00D1550C" w:rsidTr="00D93F6D">
        <w:trPr>
          <w:trHeight w:val="300"/>
        </w:trPr>
        <w:tc>
          <w:tcPr>
            <w:tcW w:w="3119" w:type="dxa"/>
            <w:shd w:val="clear" w:color="auto" w:fill="auto"/>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5,6</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6,8</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7,0</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6,8</w:t>
            </w:r>
          </w:p>
        </w:tc>
        <w:tc>
          <w:tcPr>
            <w:tcW w:w="1134" w:type="dxa"/>
            <w:shd w:val="clear" w:color="auto" w:fill="auto"/>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6,9</w:t>
            </w:r>
          </w:p>
        </w:tc>
        <w:tc>
          <w:tcPr>
            <w:tcW w:w="1134" w:type="dxa"/>
            <w:shd w:val="clear" w:color="auto" w:fill="auto"/>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6,6</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6,6</w:t>
            </w:r>
          </w:p>
        </w:tc>
      </w:tr>
      <w:tr w:rsidR="00D93F6D" w:rsidRPr="00D1550C" w:rsidTr="00D93F6D">
        <w:trPr>
          <w:trHeight w:val="300"/>
        </w:trPr>
        <w:tc>
          <w:tcPr>
            <w:tcW w:w="3119" w:type="dxa"/>
            <w:shd w:val="clear" w:color="auto" w:fill="auto"/>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18,4</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17,8</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16,8</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17,3</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19,6</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19,2</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20,6</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22,3</w:t>
            </w:r>
          </w:p>
        </w:tc>
        <w:tc>
          <w:tcPr>
            <w:tcW w:w="1134" w:type="dxa"/>
            <w:shd w:val="clear" w:color="auto" w:fill="auto"/>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21,4</w:t>
            </w:r>
          </w:p>
        </w:tc>
        <w:tc>
          <w:tcPr>
            <w:tcW w:w="1134" w:type="dxa"/>
            <w:shd w:val="clear" w:color="auto" w:fill="auto"/>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23,5</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23,9</w:t>
            </w:r>
          </w:p>
        </w:tc>
      </w:tr>
      <w:tr w:rsidR="00D93F6D" w:rsidRPr="00D1550C" w:rsidTr="00D93F6D">
        <w:trPr>
          <w:trHeight w:val="454"/>
        </w:trPr>
        <w:tc>
          <w:tcPr>
            <w:tcW w:w="3119" w:type="dxa"/>
            <w:shd w:val="clear" w:color="auto" w:fill="BDD6EE" w:themeFill="accent1" w:themeFillTint="66"/>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
                <w:bCs/>
                <w:color w:val="000000"/>
                <w:sz w:val="16"/>
                <w:szCs w:val="16"/>
              </w:rPr>
              <w:t>Nonfinancial corporations, Households and NPISHs</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8 769,7</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9 326,2</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9 923,7</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9 602,0</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10 227,1</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10 957,3</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11 065,7</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11 303,6</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12 119,2</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12 363,0</w:t>
            </w:r>
          </w:p>
        </w:tc>
        <w:tc>
          <w:tcPr>
            <w:tcW w:w="1134" w:type="dxa"/>
            <w:shd w:val="clear" w:color="auto" w:fill="BDD6EE" w:themeFill="accent1" w:themeFillTint="66"/>
            <w:vAlign w:val="center"/>
          </w:tcPr>
          <w:p w:rsidR="00D93F6D" w:rsidRPr="00D1550C" w:rsidRDefault="00D93F6D" w:rsidP="00D93F6D">
            <w:pPr>
              <w:jc w:val="center"/>
              <w:rPr>
                <w:rFonts w:cs="Calibri"/>
                <w:b/>
                <w:bCs/>
                <w:color w:val="000000"/>
                <w:sz w:val="16"/>
                <w:szCs w:val="16"/>
              </w:rPr>
            </w:pPr>
            <w:r w:rsidRPr="00D1550C">
              <w:rPr>
                <w:rFonts w:cs="Calibri"/>
                <w:b/>
                <w:bCs/>
                <w:color w:val="000000"/>
                <w:sz w:val="16"/>
                <w:szCs w:val="16"/>
              </w:rPr>
              <w:t>13 519,9</w:t>
            </w:r>
          </w:p>
        </w:tc>
      </w:tr>
      <w:tr w:rsidR="00D93F6D" w:rsidRPr="00D1550C" w:rsidTr="00D93F6D">
        <w:trPr>
          <w:trHeight w:val="283"/>
        </w:trPr>
        <w:tc>
          <w:tcPr>
            <w:tcW w:w="3119" w:type="dxa"/>
            <w:shd w:val="clear" w:color="auto" w:fill="auto"/>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Short term</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806,0</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929,7</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397,8</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139,3</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276,6</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693,5</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511,6</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656,9</w:t>
            </w:r>
          </w:p>
        </w:tc>
        <w:tc>
          <w:tcPr>
            <w:tcW w:w="1134" w:type="dxa"/>
            <w:shd w:val="clear" w:color="auto" w:fill="auto"/>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929,9</w:t>
            </w:r>
          </w:p>
        </w:tc>
        <w:tc>
          <w:tcPr>
            <w:tcW w:w="1134" w:type="dxa"/>
            <w:shd w:val="clear" w:color="auto" w:fill="auto"/>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1 092,2</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1 360,4</w:t>
            </w:r>
          </w:p>
        </w:tc>
      </w:tr>
      <w:tr w:rsidR="00D93F6D" w:rsidRPr="00D1550C" w:rsidTr="00D93F6D">
        <w:trPr>
          <w:trHeight w:val="283"/>
        </w:trPr>
        <w:tc>
          <w:tcPr>
            <w:tcW w:w="3119" w:type="dxa"/>
            <w:shd w:val="clear" w:color="auto" w:fill="auto"/>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Long-term</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7 963,7</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8 396,6</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9 526,0</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9 462,7</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9 950,5</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10 263,8</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10 554,1</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10 646,6</w:t>
            </w:r>
          </w:p>
        </w:tc>
        <w:tc>
          <w:tcPr>
            <w:tcW w:w="1134" w:type="dxa"/>
            <w:shd w:val="clear" w:color="auto" w:fill="auto"/>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11 189,3</w:t>
            </w:r>
          </w:p>
        </w:tc>
        <w:tc>
          <w:tcPr>
            <w:tcW w:w="1134" w:type="dxa"/>
            <w:shd w:val="clear" w:color="auto" w:fill="auto"/>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11 270,9</w:t>
            </w:r>
          </w:p>
        </w:tc>
        <w:tc>
          <w:tcPr>
            <w:tcW w:w="1134" w:type="dxa"/>
            <w:vAlign w:val="center"/>
          </w:tcPr>
          <w:p w:rsidR="00D93F6D" w:rsidRPr="00D1550C" w:rsidRDefault="00D93F6D" w:rsidP="00D93F6D">
            <w:pPr>
              <w:ind w:firstLineChars="100" w:firstLine="160"/>
              <w:jc w:val="center"/>
              <w:rPr>
                <w:rFonts w:cs="Calibri"/>
                <w:i/>
                <w:iCs/>
                <w:color w:val="000000"/>
                <w:sz w:val="16"/>
                <w:szCs w:val="16"/>
              </w:rPr>
            </w:pPr>
            <w:r w:rsidRPr="00D1550C">
              <w:rPr>
                <w:rFonts w:cs="Calibri"/>
                <w:i/>
                <w:iCs/>
                <w:color w:val="000000"/>
                <w:sz w:val="16"/>
                <w:szCs w:val="16"/>
              </w:rPr>
              <w:t>12 159,5</w:t>
            </w:r>
          </w:p>
        </w:tc>
      </w:tr>
      <w:tr w:rsidR="00D93F6D" w:rsidRPr="00D1550C" w:rsidTr="00D93F6D">
        <w:trPr>
          <w:trHeight w:val="340"/>
        </w:trPr>
        <w:tc>
          <w:tcPr>
            <w:tcW w:w="3119" w:type="dxa"/>
            <w:shd w:val="clear" w:color="auto" w:fill="DEEAF6" w:themeFill="accent1" w:themeFillTint="33"/>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 xml:space="preserve">Direct Investment: </w:t>
            </w:r>
          </w:p>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Intercompany Lending</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721,6</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737,6</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786,9</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839,7</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884,3</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948,2</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986,2</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1 015,9</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1 010,4</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1 054,2</w:t>
            </w:r>
          </w:p>
        </w:tc>
        <w:tc>
          <w:tcPr>
            <w:tcW w:w="1134" w:type="dxa"/>
            <w:shd w:val="clear" w:color="auto" w:fill="DEEAF6" w:themeFill="accent1" w:themeFillTint="33"/>
            <w:vAlign w:val="center"/>
          </w:tcPr>
          <w:p w:rsidR="00D93F6D" w:rsidRPr="00D1550C" w:rsidRDefault="00D93F6D" w:rsidP="00D93F6D">
            <w:pPr>
              <w:jc w:val="center"/>
              <w:rPr>
                <w:rFonts w:cs="Calibri"/>
                <w:bCs/>
                <w:color w:val="000000"/>
                <w:sz w:val="16"/>
                <w:szCs w:val="16"/>
              </w:rPr>
            </w:pPr>
            <w:r w:rsidRPr="00D1550C">
              <w:rPr>
                <w:rFonts w:cs="Calibri"/>
                <w:bCs/>
                <w:color w:val="000000"/>
                <w:sz w:val="16"/>
                <w:szCs w:val="16"/>
              </w:rPr>
              <w:t>1 193,4</w:t>
            </w:r>
          </w:p>
        </w:tc>
      </w:tr>
      <w:tr w:rsidR="00D93F6D" w:rsidRPr="00D1550C" w:rsidTr="00D93F6D">
        <w:trPr>
          <w:trHeight w:val="34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liabilities of direct investment enterprises to direct investors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651,6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666,8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692,3</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761,8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825,2</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873,2</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906,4</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927,9</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914,6</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944,0</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1 085,4</w:t>
            </w:r>
          </w:p>
        </w:tc>
      </w:tr>
      <w:tr w:rsidR="00D93F6D" w:rsidRPr="00D1550C" w:rsidTr="00D93F6D">
        <w:trPr>
          <w:trHeight w:val="34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 xml:space="preserve">Debt liabilities of direct investors to direct investment enterprises </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r>
      <w:tr w:rsidR="00D93F6D" w:rsidRPr="00D1550C" w:rsidTr="00D93F6D">
        <w:trPr>
          <w:trHeight w:val="340"/>
        </w:trPr>
        <w:tc>
          <w:tcPr>
            <w:tcW w:w="3119" w:type="dxa"/>
            <w:shd w:val="clear" w:color="auto" w:fill="auto"/>
            <w:vAlign w:val="center"/>
          </w:tcPr>
          <w:p w:rsidR="00D93F6D" w:rsidRPr="00D1550C" w:rsidRDefault="00D93F6D" w:rsidP="00D93F6D">
            <w:pPr>
              <w:ind w:left="176"/>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Debt liabilities to fellow enterprises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70,0</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70,8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94,6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77,9</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59,1</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75,0</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79,8</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88,0</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95,8</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110,2</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107,9</w:t>
            </w:r>
          </w:p>
        </w:tc>
      </w:tr>
      <w:tr w:rsidR="00D93F6D" w:rsidRPr="00D1550C" w:rsidTr="00D93F6D">
        <w:trPr>
          <w:trHeight w:val="340"/>
        </w:trPr>
        <w:tc>
          <w:tcPr>
            <w:tcW w:w="3119" w:type="dxa"/>
            <w:shd w:val="clear" w:color="auto" w:fill="auto"/>
            <w:vAlign w:val="center"/>
          </w:tcPr>
          <w:p w:rsidR="00D93F6D" w:rsidRPr="00D1550C" w:rsidRDefault="00D93F6D" w:rsidP="00360E21">
            <w:pPr>
              <w:ind w:left="37" w:firstLine="37"/>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Memorandum Items:</w:t>
            </w:r>
          </w:p>
        </w:tc>
        <w:tc>
          <w:tcPr>
            <w:tcW w:w="1134" w:type="dxa"/>
            <w:vAlign w:val="center"/>
          </w:tcPr>
          <w:p w:rsidR="00D93F6D" w:rsidRPr="00D1550C" w:rsidRDefault="00D93F6D" w:rsidP="00360E21">
            <w:pPr>
              <w:jc w:val="center"/>
              <w:rPr>
                <w:rFonts w:cs="Calibri"/>
                <w:color w:val="000000"/>
                <w:sz w:val="16"/>
                <w:szCs w:val="16"/>
              </w:rPr>
            </w:pPr>
          </w:p>
        </w:tc>
        <w:tc>
          <w:tcPr>
            <w:tcW w:w="1134" w:type="dxa"/>
            <w:vAlign w:val="center"/>
          </w:tcPr>
          <w:p w:rsidR="00D93F6D" w:rsidRPr="00D1550C" w:rsidRDefault="00D93F6D" w:rsidP="00360E21">
            <w:pPr>
              <w:jc w:val="center"/>
              <w:rPr>
                <w:rFonts w:cs="Calibri"/>
                <w:color w:val="000000"/>
                <w:sz w:val="16"/>
                <w:szCs w:val="16"/>
              </w:rPr>
            </w:pPr>
          </w:p>
        </w:tc>
        <w:tc>
          <w:tcPr>
            <w:tcW w:w="1134" w:type="dxa"/>
            <w:vAlign w:val="center"/>
          </w:tcPr>
          <w:p w:rsidR="00D93F6D" w:rsidRPr="00D1550C" w:rsidRDefault="00D93F6D" w:rsidP="00360E21">
            <w:pPr>
              <w:jc w:val="center"/>
              <w:rPr>
                <w:rFonts w:cs="Calibri"/>
                <w:color w:val="000000"/>
                <w:sz w:val="16"/>
                <w:szCs w:val="16"/>
              </w:rPr>
            </w:pPr>
          </w:p>
        </w:tc>
        <w:tc>
          <w:tcPr>
            <w:tcW w:w="1134" w:type="dxa"/>
            <w:vAlign w:val="center"/>
          </w:tcPr>
          <w:p w:rsidR="00D93F6D" w:rsidRPr="00D1550C" w:rsidRDefault="00D93F6D" w:rsidP="00360E21">
            <w:pPr>
              <w:jc w:val="center"/>
              <w:rPr>
                <w:rFonts w:cs="Calibri"/>
                <w:color w:val="000000"/>
                <w:sz w:val="16"/>
                <w:szCs w:val="16"/>
              </w:rPr>
            </w:pPr>
          </w:p>
        </w:tc>
        <w:tc>
          <w:tcPr>
            <w:tcW w:w="1134" w:type="dxa"/>
            <w:vAlign w:val="center"/>
          </w:tcPr>
          <w:p w:rsidR="00D93F6D" w:rsidRPr="00D1550C" w:rsidRDefault="00D93F6D" w:rsidP="00360E21">
            <w:pPr>
              <w:jc w:val="center"/>
              <w:rPr>
                <w:rFonts w:cs="Calibri"/>
                <w:color w:val="000000"/>
                <w:sz w:val="16"/>
                <w:szCs w:val="16"/>
              </w:rPr>
            </w:pPr>
          </w:p>
        </w:tc>
        <w:tc>
          <w:tcPr>
            <w:tcW w:w="1134" w:type="dxa"/>
            <w:vAlign w:val="center"/>
          </w:tcPr>
          <w:p w:rsidR="00D93F6D" w:rsidRPr="00D1550C" w:rsidRDefault="00D93F6D" w:rsidP="00360E21">
            <w:pPr>
              <w:jc w:val="center"/>
              <w:rPr>
                <w:rFonts w:cs="Calibri"/>
                <w:color w:val="000000"/>
                <w:sz w:val="16"/>
                <w:szCs w:val="16"/>
              </w:rPr>
            </w:pPr>
          </w:p>
        </w:tc>
        <w:tc>
          <w:tcPr>
            <w:tcW w:w="1134" w:type="dxa"/>
            <w:vAlign w:val="center"/>
          </w:tcPr>
          <w:p w:rsidR="00D93F6D" w:rsidRPr="00D1550C" w:rsidRDefault="00D93F6D" w:rsidP="00360E21">
            <w:pPr>
              <w:jc w:val="center"/>
              <w:rPr>
                <w:rFonts w:cs="Calibri"/>
                <w:color w:val="000000"/>
                <w:sz w:val="16"/>
                <w:szCs w:val="16"/>
              </w:rPr>
            </w:pPr>
          </w:p>
        </w:tc>
        <w:tc>
          <w:tcPr>
            <w:tcW w:w="1134" w:type="dxa"/>
            <w:vAlign w:val="center"/>
          </w:tcPr>
          <w:p w:rsidR="00D93F6D" w:rsidRPr="00D1550C" w:rsidRDefault="00D93F6D" w:rsidP="00360E21">
            <w:pPr>
              <w:jc w:val="center"/>
              <w:rPr>
                <w:rFonts w:cs="Calibri"/>
                <w:color w:val="000000"/>
                <w:sz w:val="16"/>
                <w:szCs w:val="16"/>
              </w:rPr>
            </w:pPr>
          </w:p>
        </w:tc>
        <w:tc>
          <w:tcPr>
            <w:tcW w:w="1134" w:type="dxa"/>
            <w:shd w:val="clear" w:color="auto" w:fill="auto"/>
            <w:vAlign w:val="center"/>
          </w:tcPr>
          <w:p w:rsidR="00D93F6D" w:rsidRPr="00D1550C" w:rsidRDefault="00D93F6D" w:rsidP="00360E21">
            <w:pPr>
              <w:jc w:val="center"/>
              <w:rPr>
                <w:rFonts w:cs="Calibri"/>
                <w:color w:val="000000"/>
                <w:sz w:val="16"/>
                <w:szCs w:val="16"/>
              </w:rPr>
            </w:pPr>
          </w:p>
        </w:tc>
        <w:tc>
          <w:tcPr>
            <w:tcW w:w="1134" w:type="dxa"/>
            <w:shd w:val="clear" w:color="auto" w:fill="auto"/>
            <w:vAlign w:val="center"/>
          </w:tcPr>
          <w:p w:rsidR="00D93F6D" w:rsidRPr="00D1550C" w:rsidRDefault="00D93F6D" w:rsidP="00360E21">
            <w:pPr>
              <w:jc w:val="center"/>
              <w:rPr>
                <w:rFonts w:cs="Calibri"/>
                <w:color w:val="000000"/>
                <w:sz w:val="16"/>
                <w:szCs w:val="16"/>
              </w:rPr>
            </w:pPr>
          </w:p>
        </w:tc>
        <w:tc>
          <w:tcPr>
            <w:tcW w:w="1134" w:type="dxa"/>
            <w:vAlign w:val="center"/>
          </w:tcPr>
          <w:p w:rsidR="00D93F6D" w:rsidRPr="00D1550C" w:rsidRDefault="00D93F6D" w:rsidP="00360E21">
            <w:pPr>
              <w:jc w:val="center"/>
              <w:rPr>
                <w:rFonts w:cs="Calibri"/>
                <w:color w:val="000000"/>
                <w:sz w:val="16"/>
                <w:szCs w:val="16"/>
              </w:rPr>
            </w:pPr>
          </w:p>
        </w:tc>
      </w:tr>
      <w:tr w:rsidR="00D93F6D" w:rsidRPr="00D1550C" w:rsidTr="00D93F6D">
        <w:trPr>
          <w:trHeight w:val="340"/>
        </w:trPr>
        <w:tc>
          <w:tcPr>
            <w:tcW w:w="3119" w:type="dxa"/>
            <w:shd w:val="clear" w:color="auto" w:fill="BDD6EE" w:themeFill="accent1" w:themeFillTint="66"/>
            <w:vAlign w:val="center"/>
          </w:tcPr>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 xml:space="preserve">Debt Securities </w:t>
            </w:r>
          </w:p>
          <w:p w:rsidR="00D93F6D" w:rsidRPr="00D1550C" w:rsidRDefault="00D93F6D" w:rsidP="00D93F6D">
            <w:pPr>
              <w:rPr>
                <w:rFonts w:asciiTheme="minorHAnsi" w:hAnsiTheme="minorHAnsi" w:cstheme="minorHAnsi"/>
                <w:b/>
                <w:bCs/>
                <w:color w:val="000000"/>
                <w:sz w:val="16"/>
                <w:szCs w:val="16"/>
              </w:rPr>
            </w:pPr>
            <w:r w:rsidRPr="00D1550C">
              <w:rPr>
                <w:rFonts w:asciiTheme="minorHAnsi" w:hAnsiTheme="minorHAnsi" w:cstheme="minorHAnsi"/>
                <w:b/>
                <w:bCs/>
                <w:color w:val="000000"/>
                <w:sz w:val="16"/>
                <w:szCs w:val="16"/>
              </w:rPr>
              <w:t>(at nominal value)</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1 005,6</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1 018,3</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1 005,6</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1 319,7</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1 311,3</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1 319,7</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1 311,3</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2 675,0</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2 686,3</w:t>
            </w:r>
          </w:p>
        </w:tc>
        <w:tc>
          <w:tcPr>
            <w:tcW w:w="1134" w:type="dxa"/>
            <w:shd w:val="clear" w:color="auto" w:fill="BDD6EE" w:themeFill="accent1" w:themeFillTint="66"/>
            <w:vAlign w:val="center"/>
          </w:tcPr>
          <w:p w:rsidR="00D93F6D" w:rsidRPr="00D1550C" w:rsidRDefault="00D93F6D" w:rsidP="00D93F6D">
            <w:pPr>
              <w:jc w:val="center"/>
              <w:rPr>
                <w:rFonts w:cs="Calibri"/>
                <w:b/>
                <w:sz w:val="16"/>
                <w:szCs w:val="16"/>
              </w:rPr>
            </w:pPr>
            <w:r w:rsidRPr="00D1550C">
              <w:rPr>
                <w:rFonts w:cs="Calibri"/>
                <w:b/>
                <w:sz w:val="16"/>
                <w:szCs w:val="16"/>
              </w:rPr>
              <w:t>2 974,9</w:t>
            </w:r>
          </w:p>
        </w:tc>
      </w:tr>
      <w:tr w:rsidR="00D93F6D" w:rsidRPr="00D1550C" w:rsidTr="00D93F6D">
        <w:trPr>
          <w:trHeight w:val="340"/>
        </w:trPr>
        <w:tc>
          <w:tcPr>
            <w:tcW w:w="3119" w:type="dxa"/>
            <w:shd w:val="clear" w:color="auto" w:fill="auto"/>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General government</w:t>
            </w:r>
          </w:p>
        </w:tc>
        <w:tc>
          <w:tcPr>
            <w:tcW w:w="1134" w:type="dxa"/>
            <w:vAlign w:val="center"/>
          </w:tcPr>
          <w:p w:rsidR="00D93F6D" w:rsidRPr="00D1550C" w:rsidRDefault="00D93F6D" w:rsidP="00D93F6D">
            <w:pPr>
              <w:jc w:val="center"/>
              <w:rPr>
                <w:rFonts w:cs="Calibri"/>
                <w:color w:val="000000"/>
                <w:sz w:val="16"/>
                <w:szCs w:val="16"/>
              </w:rPr>
            </w:pP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1 005,6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1 018,3</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1 005,6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1 018,3</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1 005,6</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1 018,3</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1 005,6</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1 768,9</w:t>
            </w:r>
          </w:p>
        </w:tc>
        <w:tc>
          <w:tcPr>
            <w:tcW w:w="1134" w:type="dxa"/>
            <w:shd w:val="clear" w:color="auto" w:fill="auto"/>
            <w:vAlign w:val="center"/>
          </w:tcPr>
          <w:p w:rsidR="00D93F6D" w:rsidRPr="00D1550C" w:rsidRDefault="00D93F6D" w:rsidP="00D93F6D">
            <w:pPr>
              <w:jc w:val="center"/>
              <w:rPr>
                <w:rFonts w:cs="Calibri"/>
                <w:sz w:val="16"/>
                <w:szCs w:val="16"/>
              </w:rPr>
            </w:pPr>
            <w:r w:rsidRPr="00D1550C">
              <w:rPr>
                <w:rFonts w:cs="Calibri"/>
                <w:sz w:val="16"/>
                <w:szCs w:val="16"/>
              </w:rPr>
              <w:t>1 768,1</w:t>
            </w:r>
          </w:p>
        </w:tc>
        <w:tc>
          <w:tcPr>
            <w:tcW w:w="1134" w:type="dxa"/>
            <w:vAlign w:val="center"/>
          </w:tcPr>
          <w:p w:rsidR="00D93F6D" w:rsidRPr="00D1550C" w:rsidRDefault="00D93F6D" w:rsidP="00D93F6D">
            <w:pPr>
              <w:jc w:val="center"/>
              <w:rPr>
                <w:rFonts w:cs="Calibri"/>
                <w:sz w:val="16"/>
                <w:szCs w:val="16"/>
              </w:rPr>
            </w:pPr>
            <w:r w:rsidRPr="00D1550C">
              <w:rPr>
                <w:rFonts w:cs="Calibri"/>
                <w:sz w:val="16"/>
                <w:szCs w:val="16"/>
              </w:rPr>
              <w:t>1 766,5</w:t>
            </w:r>
          </w:p>
        </w:tc>
      </w:tr>
      <w:tr w:rsidR="00D93F6D" w:rsidRPr="00D1550C" w:rsidTr="00D93F6D">
        <w:trPr>
          <w:trHeight w:val="300"/>
        </w:trPr>
        <w:tc>
          <w:tcPr>
            <w:tcW w:w="3119" w:type="dxa"/>
            <w:shd w:val="clear" w:color="auto" w:fill="auto"/>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Central Bank</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jc w:val="center"/>
              <w:rPr>
                <w:rFonts w:cs="Calibri"/>
                <w:sz w:val="16"/>
                <w:szCs w:val="16"/>
              </w:rPr>
            </w:pPr>
            <w:r w:rsidRPr="00D1550C">
              <w:rPr>
                <w:rFonts w:cs="Calibri"/>
                <w:sz w:val="16"/>
                <w:szCs w:val="16"/>
              </w:rPr>
              <w:t>-</w:t>
            </w:r>
          </w:p>
        </w:tc>
        <w:tc>
          <w:tcPr>
            <w:tcW w:w="1134" w:type="dxa"/>
            <w:vAlign w:val="center"/>
          </w:tcPr>
          <w:p w:rsidR="00D93F6D" w:rsidRPr="00D1550C" w:rsidRDefault="00D93F6D" w:rsidP="00D93F6D">
            <w:pPr>
              <w:jc w:val="center"/>
              <w:rPr>
                <w:rFonts w:cs="Calibri"/>
                <w:sz w:val="16"/>
                <w:szCs w:val="16"/>
              </w:rPr>
            </w:pPr>
          </w:p>
        </w:tc>
      </w:tr>
      <w:tr w:rsidR="00D93F6D" w:rsidRPr="00D1550C" w:rsidTr="00D93F6D">
        <w:trPr>
          <w:trHeight w:val="300"/>
        </w:trPr>
        <w:tc>
          <w:tcPr>
            <w:tcW w:w="3119" w:type="dxa"/>
            <w:shd w:val="clear" w:color="auto" w:fill="auto"/>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Deposit-taking corporations, except the central bank</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301,4</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305,7</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301,4</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305,7</w:t>
            </w:r>
          </w:p>
        </w:tc>
        <w:tc>
          <w:tcPr>
            <w:tcW w:w="1134" w:type="dxa"/>
            <w:shd w:val="clear" w:color="auto" w:fill="auto"/>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906,1</w:t>
            </w:r>
          </w:p>
        </w:tc>
        <w:tc>
          <w:tcPr>
            <w:tcW w:w="1134" w:type="dxa"/>
            <w:shd w:val="clear" w:color="auto" w:fill="auto"/>
            <w:vAlign w:val="center"/>
          </w:tcPr>
          <w:p w:rsidR="00D93F6D" w:rsidRPr="00D1550C" w:rsidRDefault="00D93F6D" w:rsidP="00D93F6D">
            <w:pPr>
              <w:jc w:val="center"/>
              <w:rPr>
                <w:rFonts w:cs="Calibri"/>
                <w:sz w:val="16"/>
                <w:szCs w:val="16"/>
              </w:rPr>
            </w:pPr>
            <w:r w:rsidRPr="00D1550C">
              <w:rPr>
                <w:rFonts w:cs="Calibri"/>
                <w:sz w:val="16"/>
                <w:szCs w:val="16"/>
              </w:rPr>
              <w:t>918,2</w:t>
            </w:r>
          </w:p>
        </w:tc>
        <w:tc>
          <w:tcPr>
            <w:tcW w:w="1134" w:type="dxa"/>
            <w:vAlign w:val="center"/>
          </w:tcPr>
          <w:p w:rsidR="00D93F6D" w:rsidRPr="00D1550C" w:rsidRDefault="00D93F6D" w:rsidP="00D93F6D">
            <w:pPr>
              <w:jc w:val="center"/>
              <w:rPr>
                <w:rFonts w:cs="Calibri"/>
                <w:sz w:val="16"/>
                <w:szCs w:val="16"/>
              </w:rPr>
            </w:pPr>
            <w:r w:rsidRPr="00D1550C">
              <w:rPr>
                <w:rFonts w:cs="Calibri"/>
                <w:sz w:val="16"/>
                <w:szCs w:val="16"/>
              </w:rPr>
              <w:t>906,1</w:t>
            </w:r>
          </w:p>
        </w:tc>
      </w:tr>
      <w:tr w:rsidR="00D93F6D" w:rsidRPr="00D1550C" w:rsidTr="00D93F6D">
        <w:trPr>
          <w:trHeight w:val="300"/>
        </w:trPr>
        <w:tc>
          <w:tcPr>
            <w:tcW w:w="3119" w:type="dxa"/>
            <w:shd w:val="clear" w:color="auto" w:fill="auto"/>
            <w:vAlign w:val="center"/>
          </w:tcPr>
          <w:p w:rsidR="00D93F6D" w:rsidRPr="00D1550C" w:rsidRDefault="00D93F6D" w:rsidP="00D93F6D">
            <w:pPr>
              <w:rPr>
                <w:rFonts w:asciiTheme="minorHAnsi" w:hAnsiTheme="minorHAnsi" w:cstheme="minorHAnsi"/>
                <w:bCs/>
                <w:color w:val="000000"/>
                <w:sz w:val="16"/>
                <w:szCs w:val="16"/>
              </w:rPr>
            </w:pPr>
            <w:r w:rsidRPr="00D1550C">
              <w:rPr>
                <w:rFonts w:asciiTheme="minorHAnsi" w:hAnsiTheme="minorHAnsi" w:cstheme="minorHAnsi"/>
                <w:bCs/>
                <w:color w:val="000000"/>
                <w:sz w:val="16"/>
                <w:szCs w:val="16"/>
              </w:rPr>
              <w:t>Other sectors</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ind w:firstLineChars="100" w:firstLine="160"/>
              <w:jc w:val="center"/>
              <w:rPr>
                <w:rFonts w:cs="Calibri"/>
                <w:color w:val="000000"/>
                <w:sz w:val="16"/>
                <w:szCs w:val="16"/>
              </w:rPr>
            </w:pPr>
            <w:r w:rsidRPr="00D1550C">
              <w:rPr>
                <w:rFonts w:cs="Calibri"/>
                <w:color w:val="000000"/>
                <w:sz w:val="16"/>
                <w:szCs w:val="16"/>
              </w:rPr>
              <w:t>-</w:t>
            </w:r>
          </w:p>
        </w:tc>
        <w:tc>
          <w:tcPr>
            <w:tcW w:w="1134" w:type="dxa"/>
            <w:vAlign w:val="center"/>
          </w:tcPr>
          <w:p w:rsidR="00D93F6D" w:rsidRPr="00D1550C" w:rsidRDefault="00D93F6D" w:rsidP="00D93F6D">
            <w:pPr>
              <w:jc w:val="right"/>
            </w:pPr>
            <w:r w:rsidRPr="00D1550C">
              <w:rPr>
                <w:rFonts w:cs="Calibri"/>
                <w:color w:val="000000"/>
                <w:sz w:val="16"/>
                <w:szCs w:val="16"/>
              </w:rPr>
              <w:t>-</w:t>
            </w:r>
          </w:p>
        </w:tc>
        <w:tc>
          <w:tcPr>
            <w:tcW w:w="1134" w:type="dxa"/>
            <w:vAlign w:val="center"/>
          </w:tcPr>
          <w:p w:rsidR="00D93F6D" w:rsidRPr="00D1550C" w:rsidRDefault="00D93F6D" w:rsidP="00D93F6D">
            <w:pPr>
              <w:jc w:val="right"/>
            </w:pPr>
            <w:r w:rsidRPr="00D1550C">
              <w:rPr>
                <w:rFonts w:cs="Calibri"/>
                <w:color w:val="000000"/>
                <w:sz w:val="16"/>
                <w:szCs w:val="16"/>
              </w:rPr>
              <w:t>-</w:t>
            </w:r>
          </w:p>
        </w:tc>
        <w:tc>
          <w:tcPr>
            <w:tcW w:w="1134" w:type="dxa"/>
            <w:vAlign w:val="center"/>
          </w:tcPr>
          <w:p w:rsidR="00D93F6D" w:rsidRPr="00D1550C" w:rsidRDefault="00D93F6D" w:rsidP="00D93F6D">
            <w:pPr>
              <w:jc w:val="right"/>
            </w:pPr>
            <w:r w:rsidRPr="00D1550C">
              <w:rPr>
                <w:rFonts w:cs="Calibri"/>
                <w:color w:val="000000"/>
                <w:sz w:val="16"/>
                <w:szCs w:val="16"/>
              </w:rPr>
              <w:t>-</w:t>
            </w:r>
          </w:p>
        </w:tc>
        <w:tc>
          <w:tcPr>
            <w:tcW w:w="1134" w:type="dxa"/>
            <w:vAlign w:val="center"/>
          </w:tcPr>
          <w:p w:rsidR="00D93F6D" w:rsidRPr="00D1550C" w:rsidRDefault="00D93F6D" w:rsidP="00D93F6D">
            <w:pPr>
              <w:jc w:val="right"/>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jc w:val="right"/>
            </w:pPr>
            <w:r w:rsidRPr="00D1550C">
              <w:rPr>
                <w:rFonts w:cs="Calibri"/>
                <w:color w:val="000000"/>
                <w:sz w:val="16"/>
                <w:szCs w:val="16"/>
              </w:rPr>
              <w:t>-</w:t>
            </w:r>
          </w:p>
        </w:tc>
        <w:tc>
          <w:tcPr>
            <w:tcW w:w="1134" w:type="dxa"/>
            <w:shd w:val="clear" w:color="auto" w:fill="auto"/>
            <w:vAlign w:val="center"/>
          </w:tcPr>
          <w:p w:rsidR="00D93F6D" w:rsidRPr="00D1550C" w:rsidRDefault="00D93F6D" w:rsidP="00D93F6D">
            <w:pPr>
              <w:jc w:val="right"/>
            </w:pPr>
            <w:r w:rsidRPr="00D1550C">
              <w:rPr>
                <w:rFonts w:cs="Calibri"/>
                <w:color w:val="000000"/>
                <w:sz w:val="16"/>
                <w:szCs w:val="16"/>
              </w:rPr>
              <w:t>-</w:t>
            </w:r>
          </w:p>
        </w:tc>
        <w:tc>
          <w:tcPr>
            <w:tcW w:w="1134" w:type="dxa"/>
            <w:vAlign w:val="center"/>
          </w:tcPr>
          <w:p w:rsidR="00D93F6D" w:rsidRPr="00D1550C" w:rsidRDefault="00D93F6D" w:rsidP="00D93F6D">
            <w:pPr>
              <w:jc w:val="center"/>
              <w:rPr>
                <w:rFonts w:cs="Calibri"/>
                <w:sz w:val="16"/>
                <w:szCs w:val="16"/>
              </w:rPr>
            </w:pPr>
            <w:r w:rsidRPr="00D1550C">
              <w:rPr>
                <w:rFonts w:cs="Calibri"/>
                <w:sz w:val="16"/>
                <w:szCs w:val="16"/>
              </w:rPr>
              <w:t>302,3</w:t>
            </w:r>
          </w:p>
        </w:tc>
      </w:tr>
    </w:tbl>
    <w:p w:rsidR="00043E99" w:rsidRPr="00D1550C" w:rsidRDefault="00043E99" w:rsidP="00043E99">
      <w:pPr>
        <w:rPr>
          <w:rFonts w:asciiTheme="minorHAnsi" w:hAnsiTheme="minorHAnsi" w:cstheme="minorHAnsi"/>
          <w:sz w:val="16"/>
          <w:szCs w:val="16"/>
        </w:rPr>
      </w:pPr>
      <w:r w:rsidRPr="00D1550C">
        <w:rPr>
          <w:rFonts w:asciiTheme="minorHAnsi" w:hAnsiTheme="minorHAnsi" w:cstheme="minorHAnsi"/>
          <w:sz w:val="16"/>
          <w:szCs w:val="16"/>
          <w:vertAlign w:val="superscript"/>
        </w:rPr>
        <w:t>1</w:t>
      </w:r>
      <w:r w:rsidRPr="00D1550C">
        <w:rPr>
          <w:rFonts w:asciiTheme="minorHAnsi" w:hAnsiTheme="minorHAnsi" w:cstheme="minorHAnsi"/>
          <w:sz w:val="16"/>
          <w:szCs w:val="16"/>
        </w:rPr>
        <w:t> </w:t>
      </w:r>
      <w:r w:rsidR="008F42D9" w:rsidRPr="00D1550C">
        <w:rPr>
          <w:rFonts w:asciiTheme="minorHAnsi" w:hAnsiTheme="minorHAnsi" w:cstheme="minorHAnsi"/>
          <w:sz w:val="16"/>
          <w:szCs w:val="16"/>
        </w:rPr>
        <w:t>Debt securities takes into account by market price</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in the presence</w:t>
      </w:r>
      <w:r w:rsidRPr="00D1550C">
        <w:rPr>
          <w:rFonts w:asciiTheme="minorHAnsi" w:hAnsiTheme="minorHAnsi" w:cstheme="minorHAnsi"/>
          <w:sz w:val="16"/>
          <w:szCs w:val="16"/>
        </w:rPr>
        <w:t>)</w:t>
      </w:r>
    </w:p>
    <w:p w:rsidR="00043E99" w:rsidRPr="00D1550C" w:rsidRDefault="00043E99" w:rsidP="00043E99">
      <w:pPr>
        <w:rPr>
          <w:rFonts w:asciiTheme="minorHAnsi" w:hAnsiTheme="minorHAnsi" w:cstheme="minorHAnsi"/>
          <w:sz w:val="16"/>
          <w:szCs w:val="16"/>
        </w:rPr>
      </w:pPr>
      <w:r w:rsidRPr="00D1550C">
        <w:rPr>
          <w:rFonts w:asciiTheme="minorHAnsi" w:hAnsiTheme="minorHAnsi" w:cstheme="minorHAnsi"/>
          <w:sz w:val="16"/>
          <w:szCs w:val="16"/>
          <w:vertAlign w:val="superscript"/>
        </w:rPr>
        <w:t xml:space="preserve">2 </w:t>
      </w:r>
      <w:r w:rsidR="008F42D9" w:rsidRPr="00D1550C">
        <w:rPr>
          <w:rFonts w:asciiTheme="minorHAnsi" w:hAnsiTheme="minorHAnsi" w:cstheme="minorHAnsi"/>
          <w:sz w:val="16"/>
          <w:szCs w:val="16"/>
        </w:rPr>
        <w:t>Other sectors</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not included intercompany lending</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indicates in special article</w:t>
      </w:r>
      <w:r w:rsidRPr="00D1550C">
        <w:rPr>
          <w:rFonts w:asciiTheme="minorHAnsi" w:hAnsiTheme="minorHAnsi" w:cstheme="minorHAnsi"/>
          <w:sz w:val="16"/>
          <w:szCs w:val="16"/>
        </w:rPr>
        <w:t>)</w:t>
      </w:r>
    </w:p>
    <w:p w:rsidR="00DB4D33" w:rsidRPr="00D1550C" w:rsidRDefault="00DB4D33" w:rsidP="002219DE">
      <w:pPr>
        <w:sectPr w:rsidR="00DB4D33" w:rsidRPr="00D1550C" w:rsidSect="007F7E43">
          <w:footerReference w:type="default" r:id="rId47"/>
          <w:footerReference w:type="first" r:id="rId48"/>
          <w:pgSz w:w="16838" w:h="11906" w:orient="landscape" w:code="9"/>
          <w:pgMar w:top="1134" w:right="1134" w:bottom="851" w:left="993" w:header="709" w:footer="709" w:gutter="0"/>
          <w:cols w:space="708"/>
          <w:titlePg/>
          <w:docGrid w:linePitch="360"/>
        </w:sectPr>
      </w:pPr>
    </w:p>
    <w:p w:rsidR="005C00C3" w:rsidRPr="00D1550C" w:rsidRDefault="00B8089B" w:rsidP="005C00C3">
      <w:pPr>
        <w:jc w:val="right"/>
        <w:rPr>
          <w:i/>
          <w:sz w:val="22"/>
          <w:szCs w:val="22"/>
        </w:rPr>
      </w:pPr>
      <w:r w:rsidRPr="00D1550C">
        <w:rPr>
          <w:rFonts w:cs="Calibri"/>
          <w:i/>
          <w:sz w:val="22"/>
          <w:szCs w:val="22"/>
        </w:rPr>
        <w:lastRenderedPageBreak/>
        <w:t xml:space="preserve">Addenda </w:t>
      </w:r>
      <w:r w:rsidR="00396671" w:rsidRPr="00D1550C">
        <w:rPr>
          <w:rFonts w:cs="Calibri"/>
          <w:i/>
          <w:sz w:val="22"/>
          <w:szCs w:val="22"/>
        </w:rPr>
        <w:t>4</w:t>
      </w:r>
    </w:p>
    <w:p w:rsidR="005C00C3" w:rsidRPr="00D1550C" w:rsidRDefault="00B8089B" w:rsidP="008C63CF">
      <w:pPr>
        <w:pStyle w:val="1"/>
        <w:ind w:left="0"/>
        <w:jc w:val="center"/>
        <w:rPr>
          <w:rFonts w:ascii="Calibri" w:hAnsi="Calibri" w:cs="Calibri"/>
          <w:sz w:val="24"/>
          <w:szCs w:val="24"/>
          <w:lang w:val="en-US"/>
        </w:rPr>
      </w:pPr>
      <w:bookmarkStart w:id="25" w:name="_Toc533669803"/>
      <w:bookmarkStart w:id="26" w:name="_Toc83291130"/>
      <w:r w:rsidRPr="00D1550C">
        <w:rPr>
          <w:rFonts w:ascii="Calibri" w:hAnsi="Calibri" w:cs="Calibri"/>
          <w:bCs w:val="0"/>
          <w:color w:val="000000"/>
          <w:sz w:val="26"/>
          <w:szCs w:val="26"/>
          <w:lang w:val="en-US"/>
        </w:rPr>
        <w:t xml:space="preserve">FOREIGN </w:t>
      </w:r>
      <w:r w:rsidR="00D30334" w:rsidRPr="00D1550C">
        <w:rPr>
          <w:rFonts w:ascii="Calibri" w:hAnsi="Calibri" w:cs="Calibri"/>
          <w:bCs w:val="0"/>
          <w:color w:val="000000"/>
          <w:sz w:val="26"/>
          <w:szCs w:val="26"/>
          <w:lang w:val="en-US"/>
        </w:rPr>
        <w:t xml:space="preserve">MERCHANDISE </w:t>
      </w:r>
      <w:r w:rsidRPr="00D1550C">
        <w:rPr>
          <w:rFonts w:ascii="Calibri" w:hAnsi="Calibri" w:cs="Calibri"/>
          <w:bCs w:val="0"/>
          <w:color w:val="000000"/>
          <w:sz w:val="26"/>
          <w:szCs w:val="26"/>
          <w:lang w:val="en-US"/>
        </w:rPr>
        <w:t xml:space="preserve">TRADE </w:t>
      </w:r>
      <w:bookmarkEnd w:id="25"/>
      <w:r w:rsidR="008C63CF" w:rsidRPr="00D1550C">
        <w:rPr>
          <w:rFonts w:ascii="Calibri" w:hAnsi="Calibri" w:cs="Calibri"/>
          <w:bCs w:val="0"/>
          <w:color w:val="000000"/>
          <w:sz w:val="26"/>
          <w:szCs w:val="26"/>
          <w:lang w:val="en-US"/>
        </w:rPr>
        <w:t>TURNOVER</w:t>
      </w:r>
      <w:r w:rsidR="008C63CF" w:rsidRPr="00D1550C">
        <w:rPr>
          <w:rFonts w:ascii="Calibri" w:hAnsi="Calibri" w:cs="Calibri"/>
          <w:sz w:val="24"/>
          <w:szCs w:val="24"/>
          <w:lang w:val="en-US"/>
        </w:rPr>
        <w:t xml:space="preserve"> </w:t>
      </w:r>
      <w:r w:rsidR="003611D2" w:rsidRPr="00D1550C">
        <w:rPr>
          <w:rFonts w:ascii="Calibri" w:hAnsi="Calibri" w:cs="Calibri"/>
          <w:bCs w:val="0"/>
          <w:color w:val="000000"/>
          <w:sz w:val="26"/>
          <w:szCs w:val="26"/>
          <w:lang w:val="en-US"/>
        </w:rPr>
        <w:t>IN 2019 - 2020 AND</w:t>
      </w:r>
      <w:r w:rsidR="00CC15AB" w:rsidRPr="00D1550C">
        <w:rPr>
          <w:rFonts w:ascii="Calibri" w:hAnsi="Calibri" w:cs="Calibri"/>
          <w:bCs w:val="0"/>
          <w:color w:val="000000"/>
          <w:sz w:val="26"/>
          <w:szCs w:val="26"/>
          <w:lang w:val="en-US"/>
        </w:rPr>
        <w:t xml:space="preserve"> FOR</w:t>
      </w:r>
      <w:r w:rsidR="003611D2" w:rsidRPr="00D1550C">
        <w:rPr>
          <w:rFonts w:ascii="Calibri" w:hAnsi="Calibri" w:cs="Calibri"/>
          <w:bCs w:val="0"/>
          <w:color w:val="000000"/>
          <w:sz w:val="26"/>
          <w:szCs w:val="26"/>
          <w:lang w:val="en-US"/>
        </w:rPr>
        <w:t xml:space="preserve"> THE </w:t>
      </w:r>
      <w:r w:rsidR="00CC15AB" w:rsidRPr="00D1550C">
        <w:rPr>
          <w:rFonts w:ascii="Calibri" w:hAnsi="Calibri" w:cs="Calibri"/>
          <w:bCs w:val="0"/>
          <w:color w:val="000000"/>
          <w:sz w:val="26"/>
          <w:szCs w:val="26"/>
          <w:lang w:val="en-US"/>
        </w:rPr>
        <w:t>FIRST</w:t>
      </w:r>
      <w:r w:rsidR="003611D2" w:rsidRPr="00D1550C">
        <w:rPr>
          <w:rFonts w:ascii="Calibri" w:hAnsi="Calibri" w:cs="Calibri"/>
          <w:bCs w:val="0"/>
          <w:color w:val="000000"/>
          <w:sz w:val="26"/>
          <w:szCs w:val="26"/>
          <w:lang w:val="en-US"/>
        </w:rPr>
        <w:t xml:space="preserve"> </w:t>
      </w:r>
      <w:r w:rsidR="00E01E09" w:rsidRPr="00D1550C">
        <w:rPr>
          <w:rFonts w:ascii="Calibri" w:hAnsi="Calibri" w:cs="Calibri"/>
          <w:bCs w:val="0"/>
          <w:color w:val="000000"/>
          <w:sz w:val="26"/>
          <w:szCs w:val="26"/>
          <w:lang w:val="en-US"/>
        </w:rPr>
        <w:t>HALF</w:t>
      </w:r>
      <w:r w:rsidR="003611D2" w:rsidRPr="00D1550C">
        <w:rPr>
          <w:rFonts w:ascii="Calibri" w:hAnsi="Calibri" w:cs="Calibri"/>
          <w:bCs w:val="0"/>
          <w:color w:val="000000"/>
          <w:sz w:val="26"/>
          <w:szCs w:val="26"/>
          <w:lang w:val="en-US"/>
        </w:rPr>
        <w:t xml:space="preserve"> OF 2021</w:t>
      </w:r>
      <w:bookmarkEnd w:id="26"/>
    </w:p>
    <w:p w:rsidR="000D43A7" w:rsidRPr="00D1550C" w:rsidRDefault="00585EBB" w:rsidP="000A62A2">
      <w:pPr>
        <w:ind w:right="-31"/>
        <w:jc w:val="right"/>
        <w:rPr>
          <w:i/>
          <w:sz w:val="20"/>
          <w:szCs w:val="20"/>
        </w:rPr>
      </w:pPr>
      <w:r w:rsidRPr="00D1550C">
        <w:rPr>
          <w:i/>
          <w:sz w:val="20"/>
          <w:szCs w:val="20"/>
        </w:rPr>
        <w:t>(</w:t>
      </w:r>
      <w:r w:rsidR="00B8089B" w:rsidRPr="00D1550C">
        <w:rPr>
          <w:i/>
          <w:sz w:val="20"/>
          <w:szCs w:val="20"/>
        </w:rPr>
        <w:t>mln</w:t>
      </w:r>
      <w:r w:rsidR="000D43A7" w:rsidRPr="00D1550C">
        <w:rPr>
          <w:i/>
          <w:sz w:val="20"/>
          <w:szCs w:val="20"/>
        </w:rPr>
        <w:t>. </w:t>
      </w:r>
      <w:r w:rsidR="00B8089B" w:rsidRPr="00D1550C">
        <w:rPr>
          <w:i/>
          <w:sz w:val="20"/>
          <w:szCs w:val="20"/>
        </w:rPr>
        <w:t>USD</w:t>
      </w:r>
      <w:r w:rsidRPr="00D1550C">
        <w:rPr>
          <w:i/>
          <w:sz w:val="20"/>
          <w:szCs w:val="20"/>
        </w:rPr>
        <w:t>)</w:t>
      </w:r>
    </w:p>
    <w:tbl>
      <w:tblPr>
        <w:tblW w:w="15147" w:type="dxa"/>
        <w:tblInd w:w="-147" w:type="dxa"/>
        <w:tblLook w:val="04A0" w:firstRow="1" w:lastRow="0" w:firstColumn="1" w:lastColumn="0" w:noHBand="0" w:noVBand="1"/>
      </w:tblPr>
      <w:tblGrid>
        <w:gridCol w:w="2836"/>
        <w:gridCol w:w="1275"/>
        <w:gridCol w:w="1134"/>
        <w:gridCol w:w="1134"/>
        <w:gridCol w:w="1134"/>
        <w:gridCol w:w="1134"/>
        <w:gridCol w:w="1134"/>
        <w:gridCol w:w="1276"/>
        <w:gridCol w:w="1276"/>
        <w:gridCol w:w="1134"/>
        <w:gridCol w:w="1680"/>
      </w:tblGrid>
      <w:tr w:rsidR="00CC15AB" w:rsidRPr="00D1550C" w:rsidTr="00013257">
        <w:trPr>
          <w:trHeight w:val="315"/>
        </w:trPr>
        <w:tc>
          <w:tcPr>
            <w:tcW w:w="2836"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E01E09">
            <w:pPr>
              <w:jc w:val="center"/>
              <w:rPr>
                <w:rFonts w:cs="Calibri"/>
                <w:color w:val="000000"/>
                <w:sz w:val="22"/>
                <w:szCs w:val="22"/>
              </w:rPr>
            </w:pPr>
            <w:r w:rsidRPr="00D1550C">
              <w:rPr>
                <w:rFonts w:cs="Calibri"/>
                <w:color w:val="000000"/>
                <w:sz w:val="22"/>
                <w:szCs w:val="22"/>
              </w:rPr>
              <w:t> </w:t>
            </w:r>
          </w:p>
        </w:tc>
        <w:tc>
          <w:tcPr>
            <w:tcW w:w="1275"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C15AB" w:rsidRPr="00D1550C" w:rsidRDefault="00CC15AB" w:rsidP="00E01E09">
            <w:pPr>
              <w:jc w:val="center"/>
              <w:rPr>
                <w:rFonts w:cs="Calibri"/>
                <w:b/>
                <w:color w:val="000000"/>
                <w:sz w:val="22"/>
                <w:szCs w:val="22"/>
              </w:rPr>
            </w:pPr>
            <w:r w:rsidRPr="00D1550C">
              <w:rPr>
                <w:rFonts w:cs="Calibri"/>
                <w:b/>
                <w:color w:val="000000"/>
                <w:sz w:val="22"/>
                <w:szCs w:val="22"/>
              </w:rPr>
              <w:t>2019</w:t>
            </w:r>
          </w:p>
        </w:tc>
        <w:tc>
          <w:tcPr>
            <w:tcW w:w="567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C15AB" w:rsidRPr="00D1550C" w:rsidRDefault="00CC15AB" w:rsidP="00E01E09">
            <w:pPr>
              <w:jc w:val="center"/>
              <w:rPr>
                <w:rFonts w:cs="Calibri"/>
                <w:color w:val="000000"/>
                <w:sz w:val="22"/>
                <w:szCs w:val="22"/>
              </w:rPr>
            </w:pPr>
            <w:r w:rsidRPr="00D1550C">
              <w:rPr>
                <w:rFonts w:cs="Calibri"/>
                <w:color w:val="000000"/>
                <w:sz w:val="22"/>
                <w:szCs w:val="22"/>
              </w:rPr>
              <w:t>2020</w:t>
            </w:r>
          </w:p>
        </w:tc>
        <w:tc>
          <w:tcPr>
            <w:tcW w:w="3686" w:type="dxa"/>
            <w:gridSpan w:val="3"/>
            <w:tcBorders>
              <w:top w:val="single" w:sz="4" w:space="0" w:color="5B9BD5"/>
              <w:left w:val="nil"/>
              <w:bottom w:val="single" w:sz="4" w:space="0" w:color="5B9BD5"/>
              <w:right w:val="single" w:sz="4" w:space="0" w:color="5B9BD5"/>
            </w:tcBorders>
            <w:vAlign w:val="center"/>
          </w:tcPr>
          <w:p w:rsidR="00CC15AB" w:rsidRPr="00D1550C" w:rsidRDefault="00CC15AB" w:rsidP="00AE79A4">
            <w:pPr>
              <w:jc w:val="center"/>
              <w:rPr>
                <w:rFonts w:cs="Calibri"/>
                <w:color w:val="000000"/>
                <w:sz w:val="22"/>
                <w:szCs w:val="22"/>
              </w:rPr>
            </w:pPr>
            <w:r w:rsidRPr="00D1550C">
              <w:rPr>
                <w:rFonts w:cs="Calibri"/>
                <w:color w:val="000000"/>
                <w:sz w:val="22"/>
                <w:szCs w:val="22"/>
              </w:rPr>
              <w:t>2021 </w:t>
            </w:r>
          </w:p>
        </w:tc>
        <w:tc>
          <w:tcPr>
            <w:tcW w:w="168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C15AB" w:rsidRPr="00D1550C" w:rsidRDefault="00CC15AB" w:rsidP="00631DCF">
            <w:pPr>
              <w:jc w:val="center"/>
              <w:rPr>
                <w:rFonts w:cs="Calibri"/>
                <w:color w:val="000000"/>
                <w:sz w:val="22"/>
                <w:szCs w:val="22"/>
              </w:rPr>
            </w:pPr>
            <w:r w:rsidRPr="00D1550C">
              <w:rPr>
                <w:rFonts w:cs="Calibri"/>
                <w:color w:val="000000"/>
                <w:sz w:val="22"/>
                <w:szCs w:val="22"/>
              </w:rPr>
              <w:t xml:space="preserve">2021 1 half/ 2020 1 half </w:t>
            </w:r>
          </w:p>
        </w:tc>
      </w:tr>
      <w:tr w:rsidR="00CC15AB" w:rsidRPr="00D1550C" w:rsidTr="00CC15AB">
        <w:trPr>
          <w:trHeight w:val="660"/>
        </w:trPr>
        <w:tc>
          <w:tcPr>
            <w:tcW w:w="2836" w:type="dxa"/>
            <w:vMerge/>
            <w:tcBorders>
              <w:top w:val="single" w:sz="4" w:space="0" w:color="5B9BD5"/>
              <w:left w:val="single" w:sz="4" w:space="0" w:color="5B9BD5"/>
              <w:bottom w:val="single" w:sz="4" w:space="0" w:color="5B9BD5"/>
              <w:right w:val="single" w:sz="4" w:space="0" w:color="5B9BD5"/>
            </w:tcBorders>
            <w:vAlign w:val="center"/>
            <w:hideMark/>
          </w:tcPr>
          <w:p w:rsidR="00CC15AB" w:rsidRPr="00D1550C" w:rsidRDefault="00CC15AB" w:rsidP="00E01E09">
            <w:pPr>
              <w:rPr>
                <w:rFonts w:cs="Calibri"/>
                <w:color w:val="000000"/>
                <w:sz w:val="22"/>
                <w:szCs w:val="22"/>
              </w:rPr>
            </w:pPr>
          </w:p>
        </w:tc>
        <w:tc>
          <w:tcPr>
            <w:tcW w:w="1275" w:type="dxa"/>
            <w:vMerge/>
            <w:tcBorders>
              <w:top w:val="single" w:sz="4" w:space="0" w:color="5B9BD5"/>
              <w:left w:val="single" w:sz="4" w:space="0" w:color="5B9BD5"/>
              <w:bottom w:val="single" w:sz="4" w:space="0" w:color="5B9BD5"/>
              <w:right w:val="single" w:sz="4" w:space="0" w:color="5B9BD5"/>
            </w:tcBorders>
            <w:vAlign w:val="center"/>
            <w:hideMark/>
          </w:tcPr>
          <w:p w:rsidR="00CC15AB" w:rsidRPr="00D1550C" w:rsidRDefault="00CC15AB" w:rsidP="00E01E09">
            <w:pPr>
              <w:rPr>
                <w:rFonts w:cs="Calibri"/>
                <w:color w:val="000000"/>
                <w:sz w:val="22"/>
                <w:szCs w:val="22"/>
              </w:rPr>
            </w:pP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C15AB" w:rsidRPr="00D1550C" w:rsidRDefault="00CC15AB" w:rsidP="00CC15AB">
            <w:pPr>
              <w:jc w:val="center"/>
              <w:rPr>
                <w:rFonts w:cs="Calibri"/>
                <w:color w:val="000000"/>
                <w:sz w:val="22"/>
                <w:szCs w:val="22"/>
              </w:rPr>
            </w:pPr>
            <w:r w:rsidRPr="00D1550C">
              <w:rPr>
                <w:rFonts w:cs="Calibri"/>
                <w:b/>
                <w:color w:val="000000"/>
                <w:sz w:val="22"/>
                <w:szCs w:val="22"/>
              </w:rPr>
              <w:t>2020</w:t>
            </w:r>
          </w:p>
        </w:tc>
        <w:tc>
          <w:tcPr>
            <w:tcW w:w="1134" w:type="dxa"/>
            <w:tcBorders>
              <w:top w:val="nil"/>
              <w:left w:val="nil"/>
              <w:bottom w:val="single" w:sz="4" w:space="0" w:color="5B9BD5"/>
              <w:right w:val="single" w:sz="4" w:space="0" w:color="5B9BD5"/>
            </w:tcBorders>
            <w:shd w:val="clear" w:color="auto" w:fill="auto"/>
            <w:noWrap/>
            <w:vAlign w:val="center"/>
            <w:hideMark/>
          </w:tcPr>
          <w:p w:rsidR="00CC15AB" w:rsidRPr="00D1550C" w:rsidRDefault="00CC15AB" w:rsidP="00E01E09">
            <w:pPr>
              <w:jc w:val="center"/>
              <w:rPr>
                <w:rFonts w:cs="Calibri"/>
                <w:color w:val="000000"/>
                <w:sz w:val="22"/>
                <w:szCs w:val="22"/>
              </w:rPr>
            </w:pPr>
            <w:r w:rsidRPr="00D1550C">
              <w:rPr>
                <w:rFonts w:cs="Calibri"/>
                <w:color w:val="000000"/>
                <w:sz w:val="22"/>
                <w:szCs w:val="22"/>
              </w:rPr>
              <w:t>1Q</w:t>
            </w:r>
          </w:p>
        </w:tc>
        <w:tc>
          <w:tcPr>
            <w:tcW w:w="1134" w:type="dxa"/>
            <w:tcBorders>
              <w:top w:val="nil"/>
              <w:left w:val="nil"/>
              <w:bottom w:val="single" w:sz="4" w:space="0" w:color="5B9BD5"/>
              <w:right w:val="single" w:sz="4" w:space="0" w:color="5B9BD5"/>
            </w:tcBorders>
            <w:shd w:val="clear" w:color="auto" w:fill="auto"/>
            <w:noWrap/>
            <w:vAlign w:val="center"/>
            <w:hideMark/>
          </w:tcPr>
          <w:p w:rsidR="00CC15AB" w:rsidRPr="00D1550C" w:rsidRDefault="00CC15AB" w:rsidP="00E01E09">
            <w:pPr>
              <w:jc w:val="center"/>
              <w:rPr>
                <w:rFonts w:cs="Calibri"/>
                <w:color w:val="000000"/>
                <w:sz w:val="22"/>
                <w:szCs w:val="22"/>
              </w:rPr>
            </w:pPr>
            <w:r w:rsidRPr="00D1550C">
              <w:rPr>
                <w:rFonts w:cs="Calibri"/>
                <w:color w:val="000000"/>
                <w:sz w:val="22"/>
                <w:szCs w:val="22"/>
              </w:rPr>
              <w:t>2Q</w:t>
            </w:r>
          </w:p>
        </w:tc>
        <w:tc>
          <w:tcPr>
            <w:tcW w:w="1134" w:type="dxa"/>
            <w:tcBorders>
              <w:top w:val="nil"/>
              <w:left w:val="nil"/>
              <w:bottom w:val="single" w:sz="4" w:space="0" w:color="5B9BD5"/>
              <w:right w:val="single" w:sz="4" w:space="0" w:color="5B9BD5"/>
            </w:tcBorders>
            <w:shd w:val="clear" w:color="auto" w:fill="auto"/>
            <w:noWrap/>
            <w:vAlign w:val="center"/>
            <w:hideMark/>
          </w:tcPr>
          <w:p w:rsidR="00CC15AB" w:rsidRPr="00D1550C" w:rsidRDefault="00CC15AB" w:rsidP="00E01E09">
            <w:pPr>
              <w:jc w:val="center"/>
              <w:rPr>
                <w:rFonts w:cs="Calibri"/>
                <w:color w:val="000000"/>
                <w:sz w:val="22"/>
                <w:szCs w:val="22"/>
              </w:rPr>
            </w:pPr>
            <w:r w:rsidRPr="00D1550C">
              <w:rPr>
                <w:rFonts w:cs="Calibri"/>
                <w:color w:val="000000"/>
                <w:sz w:val="22"/>
                <w:szCs w:val="22"/>
              </w:rPr>
              <w:t>3Q</w:t>
            </w:r>
          </w:p>
        </w:tc>
        <w:tc>
          <w:tcPr>
            <w:tcW w:w="1134" w:type="dxa"/>
            <w:tcBorders>
              <w:top w:val="nil"/>
              <w:left w:val="nil"/>
              <w:bottom w:val="single" w:sz="4" w:space="0" w:color="5B9BD5"/>
              <w:right w:val="single" w:sz="4" w:space="0" w:color="5B9BD5"/>
            </w:tcBorders>
            <w:shd w:val="clear" w:color="auto" w:fill="auto"/>
            <w:noWrap/>
            <w:vAlign w:val="center"/>
            <w:hideMark/>
          </w:tcPr>
          <w:p w:rsidR="00CC15AB" w:rsidRPr="00D1550C" w:rsidRDefault="00CC15AB" w:rsidP="00E01E09">
            <w:pPr>
              <w:jc w:val="center"/>
              <w:rPr>
                <w:rFonts w:cs="Calibri"/>
                <w:color w:val="000000"/>
                <w:sz w:val="22"/>
                <w:szCs w:val="22"/>
              </w:rPr>
            </w:pPr>
            <w:r w:rsidRPr="00D1550C">
              <w:rPr>
                <w:rFonts w:cs="Calibri"/>
                <w:color w:val="000000"/>
                <w:sz w:val="22"/>
                <w:szCs w:val="22"/>
              </w:rPr>
              <w:t>4Q</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E01E09">
            <w:pPr>
              <w:jc w:val="center"/>
              <w:rPr>
                <w:rFonts w:cs="Calibri"/>
                <w:b/>
                <w:color w:val="000000"/>
                <w:sz w:val="22"/>
                <w:szCs w:val="22"/>
              </w:rPr>
            </w:pPr>
            <w:r w:rsidRPr="00D1550C">
              <w:rPr>
                <w:rFonts w:cs="Calibri"/>
                <w:b/>
                <w:color w:val="000000"/>
                <w:sz w:val="22"/>
                <w:szCs w:val="22"/>
              </w:rPr>
              <w:t>2021</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E01E09">
            <w:pPr>
              <w:jc w:val="center"/>
              <w:rPr>
                <w:rFonts w:cs="Calibri"/>
                <w:color w:val="000000"/>
                <w:sz w:val="22"/>
                <w:szCs w:val="22"/>
              </w:rPr>
            </w:pPr>
            <w:r w:rsidRPr="00D1550C">
              <w:rPr>
                <w:rFonts w:cs="Calibri"/>
                <w:color w:val="000000"/>
                <w:sz w:val="22"/>
                <w:szCs w:val="22"/>
              </w:rPr>
              <w:t>1Q</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E01E09">
            <w:pPr>
              <w:jc w:val="center"/>
              <w:rPr>
                <w:rFonts w:cs="Calibri"/>
                <w:color w:val="000000"/>
                <w:sz w:val="22"/>
                <w:szCs w:val="22"/>
              </w:rPr>
            </w:pPr>
            <w:r w:rsidRPr="00D1550C">
              <w:rPr>
                <w:rFonts w:cs="Calibri"/>
                <w:color w:val="000000"/>
                <w:sz w:val="22"/>
                <w:szCs w:val="22"/>
              </w:rPr>
              <w:t>2Q</w:t>
            </w:r>
          </w:p>
        </w:tc>
        <w:tc>
          <w:tcPr>
            <w:tcW w:w="1680" w:type="dxa"/>
            <w:vMerge/>
            <w:tcBorders>
              <w:top w:val="single" w:sz="4" w:space="0" w:color="5B9BD5"/>
              <w:left w:val="single" w:sz="4" w:space="0" w:color="5B9BD5"/>
              <w:bottom w:val="single" w:sz="4" w:space="0" w:color="5B9BD5"/>
              <w:right w:val="single" w:sz="4" w:space="0" w:color="5B9BD5"/>
            </w:tcBorders>
            <w:vAlign w:val="center"/>
            <w:hideMark/>
          </w:tcPr>
          <w:p w:rsidR="00CC15AB" w:rsidRPr="00D1550C" w:rsidRDefault="00CC15AB" w:rsidP="00E01E09">
            <w:pPr>
              <w:rPr>
                <w:rFonts w:cs="Calibri"/>
                <w:color w:val="000000"/>
                <w:sz w:val="22"/>
                <w:szCs w:val="22"/>
              </w:rPr>
            </w:pP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000000" w:fill="BDD7EE"/>
            <w:noWrap/>
            <w:vAlign w:val="center"/>
            <w:hideMark/>
          </w:tcPr>
          <w:p w:rsidR="00CC15AB" w:rsidRPr="00D1550C" w:rsidRDefault="00CC15AB" w:rsidP="00CC15AB">
            <w:pPr>
              <w:rPr>
                <w:rFonts w:cs="Calibri"/>
                <w:b/>
                <w:bCs/>
                <w:color w:val="000000"/>
                <w:sz w:val="20"/>
                <w:szCs w:val="22"/>
              </w:rPr>
            </w:pPr>
            <w:r w:rsidRPr="00D1550C">
              <w:rPr>
                <w:rFonts w:cs="Calibri"/>
                <w:b/>
                <w:bCs/>
                <w:color w:val="000000"/>
                <w:sz w:val="20"/>
                <w:szCs w:val="22"/>
              </w:rPr>
              <w:t>Foreign trade turnover</w:t>
            </w:r>
          </w:p>
        </w:tc>
        <w:tc>
          <w:tcPr>
            <w:tcW w:w="1275"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35 088,6</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31 880,5</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6 900,6</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6 869,4</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10 614,4</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7 496,0</w:t>
            </w:r>
          </w:p>
        </w:tc>
        <w:tc>
          <w:tcPr>
            <w:tcW w:w="1276" w:type="dxa"/>
            <w:tcBorders>
              <w:top w:val="single" w:sz="4" w:space="0" w:color="5B9BD5"/>
              <w:left w:val="nil"/>
              <w:bottom w:val="single" w:sz="4" w:space="0" w:color="5B9BD5"/>
              <w:right w:val="single" w:sz="4" w:space="0" w:color="5B9BD5"/>
            </w:tcBorders>
            <w:shd w:val="clear" w:color="000000" w:fill="BDD7EE"/>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16 585,9</w:t>
            </w:r>
          </w:p>
        </w:tc>
        <w:tc>
          <w:tcPr>
            <w:tcW w:w="1276" w:type="dxa"/>
            <w:tcBorders>
              <w:top w:val="single" w:sz="4" w:space="0" w:color="5B9BD5"/>
              <w:left w:val="single" w:sz="4" w:space="0" w:color="5B9BD5"/>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6 655,5</w:t>
            </w:r>
          </w:p>
        </w:tc>
        <w:tc>
          <w:tcPr>
            <w:tcW w:w="1134" w:type="dxa"/>
            <w:tcBorders>
              <w:top w:val="single" w:sz="4" w:space="0" w:color="5B9BD5"/>
              <w:left w:val="single" w:sz="4" w:space="0" w:color="5B9BD5"/>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9 930,4</w:t>
            </w:r>
          </w:p>
        </w:tc>
        <w:tc>
          <w:tcPr>
            <w:tcW w:w="1680"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20%</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Official trade</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36 151,8</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33 299,8</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7 102,8</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7 223,1</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11 054,5</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7 919,4</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17 433,6</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7 053,0</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10 380,5</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22%</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Shuttle trade</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474,8</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89,0</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89,0</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-100%</w:t>
            </w:r>
          </w:p>
        </w:tc>
      </w:tr>
      <w:tr w:rsidR="00CC15AB" w:rsidRPr="00D1550C" w:rsidTr="00CC15AB">
        <w:trPr>
          <w:trHeight w:val="210"/>
        </w:trPr>
        <w:tc>
          <w:tcPr>
            <w:tcW w:w="2836" w:type="dxa"/>
            <w:tcBorders>
              <w:top w:val="nil"/>
              <w:left w:val="single" w:sz="4" w:space="0" w:color="5B9BD5"/>
              <w:bottom w:val="single" w:sz="4" w:space="0" w:color="5B9BD5"/>
              <w:right w:val="nil"/>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 </w:t>
            </w:r>
          </w:p>
        </w:tc>
        <w:tc>
          <w:tcPr>
            <w:tcW w:w="1275"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c>
          <w:tcPr>
            <w:tcW w:w="1134"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c>
          <w:tcPr>
            <w:tcW w:w="1134"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c>
          <w:tcPr>
            <w:tcW w:w="1134"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c>
          <w:tcPr>
            <w:tcW w:w="1134"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c>
          <w:tcPr>
            <w:tcW w:w="1134" w:type="dxa"/>
            <w:tcBorders>
              <w:top w:val="single" w:sz="4" w:space="0" w:color="5B9BD5"/>
              <w:left w:val="nil"/>
              <w:bottom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c>
          <w:tcPr>
            <w:tcW w:w="1276" w:type="dxa"/>
            <w:tcBorders>
              <w:top w:val="single" w:sz="4" w:space="0" w:color="5B9BD5"/>
              <w:bottom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c>
          <w:tcPr>
            <w:tcW w:w="1276" w:type="dxa"/>
            <w:tcBorders>
              <w:top w:val="single" w:sz="4" w:space="0" w:color="5B9BD5"/>
              <w:bottom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c>
          <w:tcPr>
            <w:tcW w:w="1134" w:type="dxa"/>
            <w:tcBorders>
              <w:top w:val="single" w:sz="4" w:space="0" w:color="5B9BD5"/>
              <w:bottom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c>
          <w:tcPr>
            <w:tcW w:w="1680" w:type="dxa"/>
            <w:tcBorders>
              <w:top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000000" w:fill="BDD7EE"/>
            <w:noWrap/>
            <w:vAlign w:val="center"/>
            <w:hideMark/>
          </w:tcPr>
          <w:p w:rsidR="00CC15AB" w:rsidRPr="00D1550C" w:rsidRDefault="00CC15AB" w:rsidP="00CC15AB">
            <w:pPr>
              <w:rPr>
                <w:rFonts w:cs="Calibri"/>
                <w:b/>
                <w:bCs/>
                <w:color w:val="000000"/>
                <w:sz w:val="20"/>
                <w:szCs w:val="22"/>
              </w:rPr>
            </w:pPr>
            <w:r w:rsidRPr="00D1550C">
              <w:rPr>
                <w:rFonts w:cs="Calibri"/>
                <w:b/>
                <w:bCs/>
                <w:color w:val="000000"/>
                <w:sz w:val="20"/>
                <w:szCs w:val="22"/>
              </w:rPr>
              <w:t>Exports</w:t>
            </w:r>
          </w:p>
        </w:tc>
        <w:tc>
          <w:tcPr>
            <w:tcW w:w="1275"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13 898,6</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12 832,2</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2 609,3</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2 579,2</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5 616,2</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2 027,48</w:t>
            </w:r>
          </w:p>
        </w:tc>
        <w:tc>
          <w:tcPr>
            <w:tcW w:w="1276" w:type="dxa"/>
            <w:tcBorders>
              <w:top w:val="single" w:sz="4" w:space="0" w:color="5B9BD5"/>
              <w:left w:val="nil"/>
              <w:bottom w:val="single" w:sz="4" w:space="0" w:color="5B9BD5"/>
              <w:right w:val="single" w:sz="4" w:space="0" w:color="5B9BD5"/>
            </w:tcBorders>
            <w:shd w:val="clear" w:color="000000" w:fill="BDD7EE"/>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5 931,3</w:t>
            </w:r>
          </w:p>
        </w:tc>
        <w:tc>
          <w:tcPr>
            <w:tcW w:w="1276" w:type="dxa"/>
            <w:tcBorders>
              <w:top w:val="single" w:sz="4" w:space="0" w:color="5B9BD5"/>
              <w:left w:val="single" w:sz="4" w:space="0" w:color="5B9BD5"/>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1 933,7</w:t>
            </w:r>
          </w:p>
        </w:tc>
        <w:tc>
          <w:tcPr>
            <w:tcW w:w="1134" w:type="dxa"/>
            <w:tcBorders>
              <w:top w:val="single" w:sz="4" w:space="0" w:color="5B9BD5"/>
              <w:left w:val="single" w:sz="4" w:space="0" w:color="5B9BD5"/>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3 997,6</w:t>
            </w:r>
          </w:p>
        </w:tc>
        <w:tc>
          <w:tcPr>
            <w:tcW w:w="1680"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14%</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Exports FOB</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8 746,3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6 974,8</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1 565,4</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1 458,9</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1 933,1</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2 017,4</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4 339,9</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1 924,1</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2 415,8</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43%</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Shuttle trade</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157,5</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25,7</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25,7</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-100%</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Goods at ports</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76,6</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27,3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12,2</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1,7</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3,2</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10,1</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15,4</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9,6</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5,7</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11%</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Non-monetary gold</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4 918,3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5 804,4</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1 005,9</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1 118,7</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3 679,8</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1 576,1</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1 576,1</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-26%</w:t>
            </w:r>
          </w:p>
        </w:tc>
      </w:tr>
      <w:tr w:rsidR="00CC15AB" w:rsidRPr="00D1550C" w:rsidTr="00CC15AB">
        <w:trPr>
          <w:trHeight w:val="210"/>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 </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000000" w:fill="BDD7EE"/>
            <w:noWrap/>
            <w:vAlign w:val="center"/>
            <w:hideMark/>
          </w:tcPr>
          <w:p w:rsidR="00CC15AB" w:rsidRPr="00D1550C" w:rsidRDefault="00CC15AB" w:rsidP="00CC15AB">
            <w:pPr>
              <w:rPr>
                <w:rFonts w:cs="Calibri"/>
                <w:b/>
                <w:bCs/>
                <w:color w:val="000000"/>
                <w:sz w:val="20"/>
                <w:szCs w:val="22"/>
              </w:rPr>
            </w:pPr>
            <w:r w:rsidRPr="00D1550C">
              <w:rPr>
                <w:rFonts w:cs="Calibri"/>
                <w:b/>
                <w:bCs/>
                <w:color w:val="000000"/>
                <w:sz w:val="20"/>
                <w:szCs w:val="22"/>
              </w:rPr>
              <w:t>Imports</w:t>
            </w:r>
          </w:p>
        </w:tc>
        <w:tc>
          <w:tcPr>
            <w:tcW w:w="1275"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21 190,0</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19 048,3</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4 291,4</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4 290,1</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4 998,3</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5 468,6</w:t>
            </w:r>
          </w:p>
        </w:tc>
        <w:tc>
          <w:tcPr>
            <w:tcW w:w="1276" w:type="dxa"/>
            <w:tcBorders>
              <w:top w:val="single" w:sz="4" w:space="0" w:color="5B9BD5"/>
              <w:left w:val="nil"/>
              <w:bottom w:val="single" w:sz="4" w:space="0" w:color="5B9BD5"/>
              <w:right w:val="single" w:sz="4" w:space="0" w:color="5B9BD5"/>
            </w:tcBorders>
            <w:shd w:val="clear" w:color="000000" w:fill="BDD7EE"/>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10 654,6</w:t>
            </w:r>
          </w:p>
        </w:tc>
        <w:tc>
          <w:tcPr>
            <w:tcW w:w="1276" w:type="dxa"/>
            <w:tcBorders>
              <w:top w:val="single" w:sz="4" w:space="0" w:color="5B9BD5"/>
              <w:left w:val="single" w:sz="4" w:space="0" w:color="5B9BD5"/>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4 721,8</w:t>
            </w:r>
          </w:p>
        </w:tc>
        <w:tc>
          <w:tcPr>
            <w:tcW w:w="1134" w:type="dxa"/>
            <w:tcBorders>
              <w:top w:val="single" w:sz="4" w:space="0" w:color="5B9BD5"/>
              <w:left w:val="single" w:sz="4" w:space="0" w:color="5B9BD5"/>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5 932,9</w:t>
            </w:r>
          </w:p>
        </w:tc>
        <w:tc>
          <w:tcPr>
            <w:tcW w:w="1680"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color w:val="000000"/>
                <w:sz w:val="22"/>
                <w:szCs w:val="22"/>
              </w:rPr>
            </w:pPr>
            <w:r w:rsidRPr="00D1550C">
              <w:rPr>
                <w:rFonts w:cs="Calibri"/>
                <w:b/>
                <w:bCs/>
                <w:color w:val="000000"/>
                <w:sz w:val="20"/>
                <w:szCs w:val="20"/>
              </w:rPr>
              <w:t>24%</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Imports CIF</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22 471,6</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20 498,0</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4 529,5</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4 642,0</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5 429,3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5 897,3</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11 509,9</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5 127,4</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6 382,5</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25%</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Shuttle trade</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317,3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63,3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63,3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-100%</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Goods at ports</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110,6</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34,8</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22,5</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2,2</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6,9</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11,6</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3,8</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7,9</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-53%</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Freight</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-1 725,2</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-1 570,4</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-325,8</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-357,6</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-446,7</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-440,4</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-874,6</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-410,9</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-463,7</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28%</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Non-monetary gold</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15,7</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22,6</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1,9</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3,6</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12,3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4,8</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7,7</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1,6</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6,2</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42%</w:t>
            </w:r>
          </w:p>
        </w:tc>
      </w:tr>
      <w:tr w:rsidR="00CC15AB" w:rsidRPr="00D1550C" w:rsidTr="00CC15AB">
        <w:trPr>
          <w:trHeight w:val="210"/>
        </w:trPr>
        <w:tc>
          <w:tcPr>
            <w:tcW w:w="2836" w:type="dxa"/>
            <w:tcBorders>
              <w:top w:val="nil"/>
              <w:left w:val="single" w:sz="4" w:space="0" w:color="5B9BD5"/>
              <w:bottom w:val="single" w:sz="4" w:space="0" w:color="5B9BD5"/>
              <w:right w:val="nil"/>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 </w:t>
            </w:r>
          </w:p>
        </w:tc>
        <w:tc>
          <w:tcPr>
            <w:tcW w:w="1275"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nil"/>
              <w:left w:val="nil"/>
              <w:bottom w:val="single" w:sz="4" w:space="0" w:color="5B9BD5"/>
              <w:right w:val="nil"/>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single" w:sz="4" w:space="0" w:color="5B9BD5"/>
              <w:left w:val="nil"/>
              <w:bottom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276" w:type="dxa"/>
            <w:tcBorders>
              <w:top w:val="single" w:sz="4" w:space="0" w:color="5B9BD5"/>
              <w:bottom w:val="single" w:sz="4" w:space="0" w:color="5B9BD5"/>
            </w:tcBorders>
            <w:vAlign w:val="center"/>
          </w:tcPr>
          <w:p w:rsidR="00CC15AB" w:rsidRPr="00D1550C" w:rsidRDefault="00CC15AB" w:rsidP="00CC15AB">
            <w:pPr>
              <w:jc w:val="center"/>
              <w:rPr>
                <w:rFonts w:cs="Calibri"/>
                <w:color w:val="000000"/>
                <w:sz w:val="22"/>
                <w:szCs w:val="22"/>
              </w:rPr>
            </w:pPr>
          </w:p>
        </w:tc>
        <w:tc>
          <w:tcPr>
            <w:tcW w:w="1276" w:type="dxa"/>
            <w:tcBorders>
              <w:top w:val="single" w:sz="4" w:space="0" w:color="5B9BD5"/>
              <w:bottom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134" w:type="dxa"/>
            <w:tcBorders>
              <w:top w:val="single" w:sz="4" w:space="0" w:color="5B9BD5"/>
              <w:bottom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p>
        </w:tc>
        <w:tc>
          <w:tcPr>
            <w:tcW w:w="1680" w:type="dxa"/>
            <w:tcBorders>
              <w:top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 </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000000" w:fill="BDD7EE"/>
            <w:noWrap/>
            <w:vAlign w:val="center"/>
            <w:hideMark/>
          </w:tcPr>
          <w:p w:rsidR="00CC15AB" w:rsidRPr="00D1550C" w:rsidRDefault="00CC15AB" w:rsidP="00CC15AB">
            <w:pPr>
              <w:rPr>
                <w:rFonts w:cs="Calibri"/>
                <w:b/>
                <w:bCs/>
                <w:color w:val="000000"/>
                <w:sz w:val="20"/>
                <w:szCs w:val="22"/>
              </w:rPr>
            </w:pPr>
            <w:r w:rsidRPr="00D1550C">
              <w:rPr>
                <w:rFonts w:cs="Calibri"/>
                <w:b/>
                <w:bCs/>
                <w:color w:val="000000"/>
                <w:sz w:val="20"/>
                <w:szCs w:val="22"/>
              </w:rPr>
              <w:t>Balance</w:t>
            </w:r>
          </w:p>
        </w:tc>
        <w:tc>
          <w:tcPr>
            <w:tcW w:w="1275"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sz w:val="22"/>
                <w:szCs w:val="22"/>
              </w:rPr>
            </w:pPr>
            <w:r w:rsidRPr="00D1550C">
              <w:rPr>
                <w:rFonts w:cs="Calibri"/>
                <w:b/>
                <w:bCs/>
                <w:sz w:val="20"/>
                <w:szCs w:val="20"/>
              </w:rPr>
              <w:t>-7 291,3</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sz w:val="22"/>
                <w:szCs w:val="22"/>
              </w:rPr>
            </w:pPr>
            <w:r w:rsidRPr="00D1550C">
              <w:rPr>
                <w:rFonts w:cs="Calibri"/>
                <w:b/>
                <w:bCs/>
                <w:sz w:val="20"/>
                <w:szCs w:val="20"/>
              </w:rPr>
              <w:t>-6 216,1</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sz w:val="22"/>
                <w:szCs w:val="22"/>
              </w:rPr>
            </w:pPr>
            <w:r w:rsidRPr="00D1550C">
              <w:rPr>
                <w:rFonts w:cs="Calibri"/>
                <w:b/>
                <w:bCs/>
                <w:sz w:val="20"/>
                <w:szCs w:val="20"/>
              </w:rPr>
              <w:t>-1 682,1</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sz w:val="22"/>
                <w:szCs w:val="22"/>
              </w:rPr>
            </w:pPr>
            <w:r w:rsidRPr="00D1550C">
              <w:rPr>
                <w:rFonts w:cs="Calibri"/>
                <w:b/>
                <w:bCs/>
                <w:sz w:val="20"/>
                <w:szCs w:val="20"/>
              </w:rPr>
              <w:t>-1 710,9</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sz w:val="22"/>
                <w:szCs w:val="22"/>
              </w:rPr>
            </w:pPr>
            <w:r w:rsidRPr="00D1550C">
              <w:rPr>
                <w:rFonts w:cs="Calibri"/>
                <w:b/>
                <w:bCs/>
                <w:sz w:val="20"/>
                <w:szCs w:val="20"/>
              </w:rPr>
              <w:t>617,9</w:t>
            </w:r>
          </w:p>
        </w:tc>
        <w:tc>
          <w:tcPr>
            <w:tcW w:w="1134"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sz w:val="22"/>
                <w:szCs w:val="22"/>
              </w:rPr>
            </w:pPr>
            <w:r w:rsidRPr="00D1550C">
              <w:rPr>
                <w:rFonts w:cs="Calibri"/>
                <w:b/>
                <w:bCs/>
                <w:sz w:val="20"/>
                <w:szCs w:val="20"/>
              </w:rPr>
              <w:t>-3 441,1</w:t>
            </w:r>
          </w:p>
        </w:tc>
        <w:tc>
          <w:tcPr>
            <w:tcW w:w="1276" w:type="dxa"/>
            <w:tcBorders>
              <w:top w:val="single" w:sz="4" w:space="0" w:color="5B9BD5"/>
              <w:left w:val="nil"/>
              <w:bottom w:val="single" w:sz="4" w:space="0" w:color="5B9BD5"/>
              <w:right w:val="single" w:sz="4" w:space="0" w:color="5B9BD5"/>
            </w:tcBorders>
            <w:shd w:val="clear" w:color="000000" w:fill="BDD7EE"/>
            <w:vAlign w:val="center"/>
          </w:tcPr>
          <w:p w:rsidR="00CC15AB" w:rsidRPr="00D1550C" w:rsidRDefault="00CC15AB" w:rsidP="00CC15AB">
            <w:pPr>
              <w:jc w:val="center"/>
              <w:rPr>
                <w:rFonts w:cs="Calibri"/>
                <w:b/>
                <w:bCs/>
                <w:sz w:val="22"/>
                <w:szCs w:val="22"/>
              </w:rPr>
            </w:pPr>
            <w:r w:rsidRPr="00D1550C">
              <w:rPr>
                <w:rFonts w:cs="Calibri"/>
                <w:b/>
                <w:bCs/>
                <w:sz w:val="20"/>
                <w:szCs w:val="20"/>
              </w:rPr>
              <w:t>-4 723,3</w:t>
            </w:r>
          </w:p>
        </w:tc>
        <w:tc>
          <w:tcPr>
            <w:tcW w:w="1276" w:type="dxa"/>
            <w:tcBorders>
              <w:top w:val="single" w:sz="4" w:space="0" w:color="5B9BD5"/>
              <w:left w:val="single" w:sz="4" w:space="0" w:color="5B9BD5"/>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sz w:val="22"/>
                <w:szCs w:val="22"/>
              </w:rPr>
            </w:pPr>
            <w:r w:rsidRPr="00D1550C">
              <w:rPr>
                <w:rFonts w:cs="Calibri"/>
                <w:b/>
                <w:bCs/>
                <w:sz w:val="20"/>
                <w:szCs w:val="20"/>
              </w:rPr>
              <w:t>-2 788,1</w:t>
            </w:r>
          </w:p>
        </w:tc>
        <w:tc>
          <w:tcPr>
            <w:tcW w:w="1134" w:type="dxa"/>
            <w:tcBorders>
              <w:top w:val="single" w:sz="4" w:space="0" w:color="5B9BD5"/>
              <w:left w:val="single" w:sz="4" w:space="0" w:color="5B9BD5"/>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sz w:val="22"/>
                <w:szCs w:val="22"/>
              </w:rPr>
            </w:pPr>
            <w:r w:rsidRPr="00D1550C">
              <w:rPr>
                <w:rFonts w:cs="Calibri"/>
                <w:b/>
                <w:bCs/>
                <w:sz w:val="20"/>
                <w:szCs w:val="20"/>
              </w:rPr>
              <w:t>-1 935,3</w:t>
            </w:r>
          </w:p>
        </w:tc>
        <w:tc>
          <w:tcPr>
            <w:tcW w:w="1680" w:type="dxa"/>
            <w:tcBorders>
              <w:top w:val="nil"/>
              <w:left w:val="nil"/>
              <w:bottom w:val="single" w:sz="4" w:space="0" w:color="5B9BD5"/>
              <w:right w:val="single" w:sz="4" w:space="0" w:color="5B9BD5"/>
            </w:tcBorders>
            <w:shd w:val="clear" w:color="000000" w:fill="BDD7EE"/>
            <w:noWrap/>
            <w:vAlign w:val="center"/>
          </w:tcPr>
          <w:p w:rsidR="00CC15AB" w:rsidRPr="00D1550C" w:rsidRDefault="00CC15AB" w:rsidP="00CC15AB">
            <w:pPr>
              <w:jc w:val="center"/>
              <w:rPr>
                <w:rFonts w:cs="Calibri"/>
                <w:b/>
                <w:bCs/>
                <w:sz w:val="22"/>
                <w:szCs w:val="22"/>
              </w:rPr>
            </w:pPr>
            <w:r w:rsidRPr="00D1550C">
              <w:rPr>
                <w:rFonts w:cs="Calibri"/>
                <w:b/>
                <w:bCs/>
                <w:sz w:val="20"/>
                <w:szCs w:val="20"/>
              </w:rPr>
              <w:t>39%</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Official trade</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sz w:val="22"/>
                <w:szCs w:val="22"/>
              </w:rPr>
            </w:pPr>
            <w:r w:rsidRPr="00D1550C">
              <w:rPr>
                <w:rFonts w:cs="Calibri"/>
                <w:sz w:val="20"/>
                <w:szCs w:val="20"/>
              </w:rPr>
              <w:t>-8 822,7</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sz w:val="22"/>
                <w:szCs w:val="22"/>
              </w:rPr>
            </w:pPr>
            <w:r w:rsidRPr="00D1550C">
              <w:rPr>
                <w:rFonts w:cs="Calibri"/>
                <w:sz w:val="20"/>
                <w:szCs w:val="20"/>
              </w:rPr>
              <w:t>-7 741,4</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sz w:val="22"/>
                <w:szCs w:val="22"/>
              </w:rPr>
            </w:pPr>
            <w:r w:rsidRPr="00D1550C">
              <w:rPr>
                <w:rFonts w:cs="Calibri"/>
                <w:sz w:val="20"/>
                <w:szCs w:val="20"/>
              </w:rPr>
              <w:t>-1 960,0</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sz w:val="22"/>
                <w:szCs w:val="22"/>
              </w:rPr>
            </w:pPr>
            <w:r w:rsidRPr="00D1550C">
              <w:rPr>
                <w:rFonts w:cs="Calibri"/>
                <w:sz w:val="20"/>
                <w:szCs w:val="20"/>
              </w:rPr>
              <w:t>-2 068,0</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sz w:val="22"/>
                <w:szCs w:val="22"/>
              </w:rPr>
            </w:pPr>
            <w:r w:rsidRPr="00D1550C">
              <w:rPr>
                <w:rFonts w:cs="Calibri"/>
                <w:sz w:val="20"/>
                <w:szCs w:val="20"/>
              </w:rPr>
              <w:t>171,3</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sz w:val="22"/>
                <w:szCs w:val="22"/>
              </w:rPr>
            </w:pPr>
            <w:r w:rsidRPr="00D1550C">
              <w:rPr>
                <w:rFonts w:cs="Calibri"/>
                <w:sz w:val="20"/>
                <w:szCs w:val="20"/>
              </w:rPr>
              <w:t>-3 884,7</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sz w:val="22"/>
                <w:szCs w:val="22"/>
              </w:rPr>
            </w:pPr>
            <w:r w:rsidRPr="00D1550C">
              <w:rPr>
                <w:rFonts w:cs="Calibri"/>
                <w:sz w:val="20"/>
                <w:szCs w:val="20"/>
              </w:rPr>
              <w:t>-5 601,7</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sz w:val="22"/>
                <w:szCs w:val="22"/>
              </w:rPr>
            </w:pPr>
            <w:r w:rsidRPr="00D1550C">
              <w:rPr>
                <w:rFonts w:cs="Calibri"/>
                <w:sz w:val="20"/>
                <w:szCs w:val="20"/>
              </w:rPr>
              <w:t>-3 204,9</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sz w:val="22"/>
                <w:szCs w:val="22"/>
              </w:rPr>
            </w:pPr>
            <w:r w:rsidRPr="00D1550C">
              <w:rPr>
                <w:rFonts w:cs="Calibri"/>
                <w:sz w:val="20"/>
                <w:szCs w:val="20"/>
              </w:rPr>
              <w:t>-2 396,8</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sz w:val="22"/>
                <w:szCs w:val="22"/>
              </w:rPr>
            </w:pPr>
            <w:r w:rsidRPr="00D1550C">
              <w:rPr>
                <w:rFonts w:cs="Calibri"/>
                <w:sz w:val="20"/>
                <w:szCs w:val="20"/>
              </w:rPr>
              <w:t>39%</w:t>
            </w:r>
          </w:p>
        </w:tc>
      </w:tr>
      <w:tr w:rsidR="00CC15AB" w:rsidRPr="00D1550C" w:rsidTr="00CC15AB">
        <w:trPr>
          <w:trHeight w:val="345"/>
        </w:trPr>
        <w:tc>
          <w:tcPr>
            <w:tcW w:w="2836" w:type="dxa"/>
            <w:tcBorders>
              <w:top w:val="nil"/>
              <w:left w:val="single" w:sz="4" w:space="0" w:color="5B9BD5"/>
              <w:bottom w:val="single" w:sz="4" w:space="0" w:color="5B9BD5"/>
              <w:right w:val="single" w:sz="4" w:space="0" w:color="5B9BD5"/>
            </w:tcBorders>
            <w:shd w:val="clear" w:color="auto" w:fill="auto"/>
            <w:noWrap/>
            <w:vAlign w:val="center"/>
            <w:hideMark/>
          </w:tcPr>
          <w:p w:rsidR="00CC15AB" w:rsidRPr="00D1550C" w:rsidRDefault="00CC15AB" w:rsidP="00CC15AB">
            <w:pPr>
              <w:rPr>
                <w:rFonts w:cs="Calibri"/>
                <w:color w:val="000000"/>
                <w:sz w:val="22"/>
                <w:szCs w:val="22"/>
              </w:rPr>
            </w:pPr>
            <w:r w:rsidRPr="00D1550C">
              <w:rPr>
                <w:rFonts w:cs="Calibri"/>
                <w:color w:val="000000"/>
                <w:sz w:val="22"/>
                <w:szCs w:val="22"/>
              </w:rPr>
              <w:t>Shuttle trade</w:t>
            </w:r>
          </w:p>
        </w:tc>
        <w:tc>
          <w:tcPr>
            <w:tcW w:w="1275"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-159,8</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-37,6</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-37,6</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276" w:type="dxa"/>
            <w:tcBorders>
              <w:top w:val="single" w:sz="4" w:space="0" w:color="5B9BD5"/>
              <w:left w:val="nil"/>
              <w:bottom w:val="single" w:sz="4" w:space="0" w:color="5B9BD5"/>
              <w:right w:val="single" w:sz="4" w:space="0" w:color="5B9BD5"/>
            </w:tcBorders>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27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w:t>
            </w:r>
          </w:p>
        </w:tc>
        <w:tc>
          <w:tcPr>
            <w:tcW w:w="1680" w:type="dxa"/>
            <w:tcBorders>
              <w:top w:val="nil"/>
              <w:left w:val="nil"/>
              <w:bottom w:val="single" w:sz="4" w:space="0" w:color="5B9BD5"/>
              <w:right w:val="single" w:sz="4" w:space="0" w:color="5B9BD5"/>
            </w:tcBorders>
            <w:shd w:val="clear" w:color="auto" w:fill="auto"/>
            <w:noWrap/>
            <w:vAlign w:val="center"/>
          </w:tcPr>
          <w:p w:rsidR="00CC15AB" w:rsidRPr="00D1550C" w:rsidRDefault="00CC15AB" w:rsidP="00CC15AB">
            <w:pPr>
              <w:jc w:val="center"/>
              <w:rPr>
                <w:rFonts w:cs="Calibri"/>
                <w:color w:val="000000"/>
                <w:sz w:val="22"/>
                <w:szCs w:val="22"/>
              </w:rPr>
            </w:pPr>
            <w:r w:rsidRPr="00D1550C">
              <w:rPr>
                <w:rFonts w:cs="Calibri"/>
                <w:color w:val="000000"/>
                <w:sz w:val="20"/>
                <w:szCs w:val="20"/>
              </w:rPr>
              <w:t>-100%</w:t>
            </w:r>
          </w:p>
        </w:tc>
      </w:tr>
    </w:tbl>
    <w:p w:rsidR="008872D7" w:rsidRPr="00D1550C" w:rsidRDefault="008872D7" w:rsidP="000A62A2">
      <w:pPr>
        <w:ind w:right="-31"/>
        <w:jc w:val="right"/>
        <w:rPr>
          <w:i/>
          <w:sz w:val="20"/>
          <w:szCs w:val="20"/>
        </w:rPr>
      </w:pPr>
    </w:p>
    <w:p w:rsidR="009B676C" w:rsidRPr="00D1550C" w:rsidRDefault="008634C9" w:rsidP="00D63DFB">
      <w:pPr>
        <w:spacing w:before="120"/>
        <w:ind w:right="-598"/>
        <w:jc w:val="right"/>
        <w:rPr>
          <w:i/>
          <w:sz w:val="22"/>
          <w:szCs w:val="22"/>
        </w:rPr>
      </w:pPr>
      <w:r w:rsidRPr="00D1550C">
        <w:rPr>
          <w:rFonts w:cs="Calibri"/>
          <w:i/>
          <w:sz w:val="22"/>
          <w:szCs w:val="22"/>
        </w:rPr>
        <w:lastRenderedPageBreak/>
        <w:t xml:space="preserve">Addenda </w:t>
      </w:r>
      <w:r w:rsidR="00B152E4" w:rsidRPr="00D1550C">
        <w:rPr>
          <w:i/>
          <w:sz w:val="22"/>
          <w:szCs w:val="22"/>
        </w:rPr>
        <w:t>5</w:t>
      </w:r>
    </w:p>
    <w:p w:rsidR="009B676C" w:rsidRPr="00D1550C" w:rsidRDefault="008634C9" w:rsidP="00516292">
      <w:pPr>
        <w:pStyle w:val="1"/>
        <w:ind w:left="0"/>
        <w:jc w:val="center"/>
        <w:rPr>
          <w:rFonts w:ascii="Calibri" w:hAnsi="Calibri" w:cs="Calibri"/>
          <w:sz w:val="24"/>
          <w:szCs w:val="24"/>
          <w:lang w:val="en-US"/>
        </w:rPr>
      </w:pPr>
      <w:bookmarkStart w:id="27" w:name="_Toc83291131"/>
      <w:r w:rsidRPr="00D1550C">
        <w:rPr>
          <w:rFonts w:ascii="Calibri" w:hAnsi="Calibri" w:cs="Calibri"/>
          <w:sz w:val="24"/>
          <w:szCs w:val="24"/>
          <w:lang w:val="en-US"/>
        </w:rPr>
        <w:t>STRUCTURE OF MERCHANDISE EXPORTS AN</w:t>
      </w:r>
      <w:r w:rsidR="00864FA4" w:rsidRPr="00D1550C">
        <w:rPr>
          <w:rFonts w:ascii="Calibri" w:hAnsi="Calibri" w:cs="Calibri"/>
          <w:sz w:val="24"/>
          <w:szCs w:val="24"/>
          <w:lang w:val="en-US"/>
        </w:rPr>
        <w:t xml:space="preserve">D IMPORTS </w:t>
      </w:r>
      <w:r w:rsidR="002C79BE" w:rsidRPr="00D1550C">
        <w:rPr>
          <w:rFonts w:ascii="Calibri" w:hAnsi="Calibri" w:cs="Calibri"/>
          <w:sz w:val="24"/>
          <w:szCs w:val="24"/>
          <w:lang w:val="en-US"/>
        </w:rPr>
        <w:t xml:space="preserve">FOR </w:t>
      </w:r>
      <w:r w:rsidR="00013257" w:rsidRPr="00D1550C">
        <w:rPr>
          <w:rFonts w:ascii="Calibri" w:hAnsi="Calibri" w:cs="Calibri"/>
          <w:sz w:val="24"/>
          <w:szCs w:val="24"/>
          <w:lang w:val="en-US"/>
        </w:rPr>
        <w:t>THE FIRST</w:t>
      </w:r>
      <w:r w:rsidR="00172242" w:rsidRPr="00D1550C">
        <w:rPr>
          <w:rFonts w:ascii="Calibri" w:hAnsi="Calibri" w:cs="Calibri"/>
          <w:sz w:val="24"/>
          <w:szCs w:val="24"/>
          <w:lang w:val="en-US"/>
        </w:rPr>
        <w:t xml:space="preserve"> </w:t>
      </w:r>
      <w:r w:rsidR="004749E7" w:rsidRPr="00D1550C">
        <w:rPr>
          <w:rFonts w:ascii="Calibri" w:hAnsi="Calibri" w:cs="Calibri"/>
          <w:sz w:val="24"/>
          <w:szCs w:val="24"/>
          <w:lang w:val="en-US"/>
        </w:rPr>
        <w:t>HALF</w:t>
      </w:r>
      <w:r w:rsidR="00172242" w:rsidRPr="00D1550C">
        <w:rPr>
          <w:rFonts w:ascii="Calibri" w:hAnsi="Calibri" w:cs="Calibri"/>
          <w:sz w:val="24"/>
          <w:szCs w:val="24"/>
          <w:lang w:val="en-US"/>
        </w:rPr>
        <w:t xml:space="preserve"> OF</w:t>
      </w:r>
      <w:r w:rsidR="00516292" w:rsidRPr="00D1550C">
        <w:rPr>
          <w:rFonts w:ascii="Calibri" w:hAnsi="Calibri" w:cs="Calibri"/>
          <w:sz w:val="24"/>
          <w:szCs w:val="24"/>
          <w:lang w:val="en-US"/>
        </w:rPr>
        <w:t>20</w:t>
      </w:r>
      <w:r w:rsidR="00172242" w:rsidRPr="00D1550C">
        <w:rPr>
          <w:rFonts w:ascii="Calibri" w:hAnsi="Calibri" w:cs="Calibri"/>
          <w:sz w:val="24"/>
          <w:szCs w:val="24"/>
          <w:lang w:val="en-US"/>
        </w:rPr>
        <w:t>20</w:t>
      </w:r>
      <w:r w:rsidR="00516292" w:rsidRPr="00D1550C">
        <w:rPr>
          <w:rFonts w:ascii="Calibri" w:hAnsi="Calibri" w:cs="Calibri"/>
          <w:sz w:val="24"/>
          <w:szCs w:val="24"/>
          <w:lang w:val="en-US"/>
        </w:rPr>
        <w:t xml:space="preserve"> </w:t>
      </w:r>
      <w:r w:rsidR="00B33C6E" w:rsidRPr="00D1550C">
        <w:rPr>
          <w:rFonts w:ascii="Calibri" w:hAnsi="Calibri" w:cs="Calibri"/>
          <w:sz w:val="24"/>
          <w:szCs w:val="24"/>
          <w:lang w:val="en-US"/>
        </w:rPr>
        <w:t>AND</w:t>
      </w:r>
      <w:r w:rsidR="00516292" w:rsidRPr="00D1550C">
        <w:rPr>
          <w:rFonts w:ascii="Calibri" w:hAnsi="Calibri" w:cs="Calibri"/>
          <w:sz w:val="24"/>
          <w:szCs w:val="24"/>
          <w:lang w:val="en-US"/>
        </w:rPr>
        <w:t xml:space="preserve"> 202</w:t>
      </w:r>
      <w:r w:rsidR="00172242" w:rsidRPr="00D1550C">
        <w:rPr>
          <w:rFonts w:ascii="Calibri" w:hAnsi="Calibri" w:cs="Calibri"/>
          <w:sz w:val="24"/>
          <w:szCs w:val="24"/>
          <w:lang w:val="en-US"/>
        </w:rPr>
        <w:t>1</w:t>
      </w:r>
      <w:bookmarkEnd w:id="27"/>
    </w:p>
    <w:p w:rsidR="009B676C" w:rsidRPr="00D1550C" w:rsidRDefault="00585EBB" w:rsidP="00D63DFB">
      <w:pPr>
        <w:tabs>
          <w:tab w:val="left" w:pos="1428"/>
        </w:tabs>
        <w:ind w:right="-598"/>
        <w:jc w:val="right"/>
        <w:rPr>
          <w:i/>
          <w:sz w:val="20"/>
          <w:szCs w:val="20"/>
        </w:rPr>
      </w:pPr>
      <w:r w:rsidRPr="00D1550C">
        <w:rPr>
          <w:i/>
          <w:sz w:val="20"/>
          <w:szCs w:val="20"/>
        </w:rPr>
        <w:t>(</w:t>
      </w:r>
      <w:r w:rsidR="008634C9" w:rsidRPr="00D1550C">
        <w:rPr>
          <w:i/>
          <w:sz w:val="20"/>
          <w:szCs w:val="20"/>
        </w:rPr>
        <w:t>mln</w:t>
      </w:r>
      <w:r w:rsidR="009B676C" w:rsidRPr="00D1550C">
        <w:rPr>
          <w:i/>
          <w:sz w:val="20"/>
          <w:szCs w:val="20"/>
        </w:rPr>
        <w:t>.</w:t>
      </w:r>
      <w:r w:rsidR="008634C9" w:rsidRPr="00D1550C">
        <w:rPr>
          <w:i/>
          <w:sz w:val="20"/>
          <w:szCs w:val="20"/>
        </w:rPr>
        <w:t xml:space="preserve"> USD</w:t>
      </w:r>
      <w:r w:rsidRPr="00D1550C">
        <w:rPr>
          <w:i/>
          <w:sz w:val="20"/>
          <w:szCs w:val="20"/>
        </w:rPr>
        <w:t>)</w:t>
      </w:r>
    </w:p>
    <w:tbl>
      <w:tblPr>
        <w:tblW w:w="15304" w:type="dxa"/>
        <w:tblLayout w:type="fixed"/>
        <w:tblLook w:val="04A0" w:firstRow="1" w:lastRow="0" w:firstColumn="1" w:lastColumn="0" w:noHBand="0" w:noVBand="1"/>
      </w:tblPr>
      <w:tblGrid>
        <w:gridCol w:w="767"/>
        <w:gridCol w:w="2772"/>
        <w:gridCol w:w="851"/>
        <w:gridCol w:w="708"/>
        <w:gridCol w:w="851"/>
        <w:gridCol w:w="709"/>
        <w:gridCol w:w="1134"/>
        <w:gridCol w:w="708"/>
        <w:gridCol w:w="851"/>
        <w:gridCol w:w="850"/>
        <w:gridCol w:w="709"/>
        <w:gridCol w:w="992"/>
        <w:gridCol w:w="709"/>
        <w:gridCol w:w="1067"/>
        <w:gridCol w:w="776"/>
        <w:gridCol w:w="850"/>
      </w:tblGrid>
      <w:tr w:rsidR="004442C3" w:rsidRPr="00D1550C" w:rsidTr="00D63DFB">
        <w:trPr>
          <w:trHeight w:val="20"/>
          <w:tblHeader/>
        </w:trPr>
        <w:tc>
          <w:tcPr>
            <w:tcW w:w="767"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Section</w:t>
            </w:r>
          </w:p>
        </w:tc>
        <w:tc>
          <w:tcPr>
            <w:tcW w:w="2772"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Name of product groups</w:t>
            </w:r>
          </w:p>
        </w:tc>
        <w:tc>
          <w:tcPr>
            <w:tcW w:w="5812"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4442C3" w:rsidRPr="00D1550C" w:rsidRDefault="004305AC" w:rsidP="00EC0D55">
            <w:pPr>
              <w:jc w:val="center"/>
              <w:rPr>
                <w:rFonts w:cs="Calibri"/>
                <w:b/>
                <w:bCs/>
                <w:color w:val="000000"/>
                <w:sz w:val="18"/>
                <w:szCs w:val="18"/>
              </w:rPr>
            </w:pPr>
            <w:r w:rsidRPr="00D1550C">
              <w:rPr>
                <w:rFonts w:cs="Calibri"/>
                <w:b/>
                <w:bCs/>
                <w:color w:val="000000"/>
                <w:sz w:val="18"/>
                <w:szCs w:val="18"/>
              </w:rPr>
              <w:t>For 1st half 2020</w:t>
            </w:r>
          </w:p>
        </w:tc>
        <w:tc>
          <w:tcPr>
            <w:tcW w:w="5953"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4442C3" w:rsidRPr="00D1550C" w:rsidRDefault="004305AC" w:rsidP="00EC0D55">
            <w:pPr>
              <w:jc w:val="center"/>
              <w:rPr>
                <w:rFonts w:cs="Calibri"/>
                <w:b/>
                <w:bCs/>
                <w:color w:val="000000"/>
                <w:sz w:val="18"/>
                <w:szCs w:val="18"/>
              </w:rPr>
            </w:pPr>
            <w:r w:rsidRPr="00D1550C">
              <w:rPr>
                <w:rFonts w:cs="Calibri"/>
                <w:b/>
                <w:bCs/>
                <w:color w:val="000000"/>
                <w:sz w:val="18"/>
                <w:szCs w:val="18"/>
              </w:rPr>
              <w:t>For 1st half 2021</w:t>
            </w:r>
          </w:p>
        </w:tc>
      </w:tr>
      <w:tr w:rsidR="00720EC3" w:rsidRPr="00D1550C" w:rsidTr="00BA0530">
        <w:trPr>
          <w:trHeight w:val="20"/>
          <w:tblHeader/>
        </w:trPr>
        <w:tc>
          <w:tcPr>
            <w:tcW w:w="767" w:type="dxa"/>
            <w:vMerge/>
            <w:tcBorders>
              <w:top w:val="single" w:sz="4" w:space="0" w:color="5B9BD5"/>
              <w:left w:val="single" w:sz="4" w:space="0" w:color="5B9BD5"/>
              <w:bottom w:val="single" w:sz="4" w:space="0" w:color="5B9BD5"/>
              <w:right w:val="single" w:sz="4" w:space="0" w:color="5B9BD5"/>
            </w:tcBorders>
            <w:vAlign w:val="center"/>
            <w:hideMark/>
          </w:tcPr>
          <w:p w:rsidR="004442C3" w:rsidRPr="00D1550C" w:rsidRDefault="004442C3" w:rsidP="004442C3">
            <w:pPr>
              <w:rPr>
                <w:rFonts w:cs="Calibri"/>
                <w:b/>
                <w:bCs/>
                <w:color w:val="000000"/>
                <w:sz w:val="18"/>
                <w:szCs w:val="18"/>
              </w:rPr>
            </w:pPr>
          </w:p>
        </w:tc>
        <w:tc>
          <w:tcPr>
            <w:tcW w:w="2772" w:type="dxa"/>
            <w:vMerge/>
            <w:tcBorders>
              <w:top w:val="single" w:sz="4" w:space="0" w:color="5B9BD5"/>
              <w:left w:val="single" w:sz="4" w:space="0" w:color="5B9BD5"/>
              <w:bottom w:val="single" w:sz="4" w:space="0" w:color="5B9BD5"/>
              <w:right w:val="single" w:sz="4" w:space="0" w:color="5B9BD5"/>
            </w:tcBorders>
            <w:vAlign w:val="center"/>
            <w:hideMark/>
          </w:tcPr>
          <w:p w:rsidR="004442C3" w:rsidRPr="00D1550C" w:rsidRDefault="004442C3" w:rsidP="004442C3">
            <w:pPr>
              <w:rPr>
                <w:rFonts w:cs="Calibri"/>
                <w:b/>
                <w:bCs/>
                <w:color w:val="000000"/>
                <w:sz w:val="18"/>
                <w:szCs w:val="18"/>
              </w:rPr>
            </w:pP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export</w:t>
            </w:r>
          </w:p>
        </w:tc>
        <w:tc>
          <w:tcPr>
            <w:tcW w:w="708"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import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1134"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commodity circulation</w:t>
            </w:r>
          </w:p>
        </w:tc>
        <w:tc>
          <w:tcPr>
            <w:tcW w:w="708"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balance</w:t>
            </w:r>
          </w:p>
        </w:tc>
        <w:tc>
          <w:tcPr>
            <w:tcW w:w="850"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export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992"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import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1067"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commodity circulation</w:t>
            </w:r>
          </w:p>
        </w:tc>
        <w:tc>
          <w:tcPr>
            <w:tcW w:w="776"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850"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balance</w:t>
            </w:r>
          </w:p>
        </w:tc>
      </w:tr>
      <w:tr w:rsidR="00013257" w:rsidRPr="00D1550C" w:rsidTr="00013257">
        <w:trPr>
          <w:trHeight w:val="340"/>
        </w:trPr>
        <w:tc>
          <w:tcPr>
            <w:tcW w:w="3539" w:type="dxa"/>
            <w:gridSpan w:val="2"/>
            <w:tcBorders>
              <w:top w:val="single" w:sz="4" w:space="0" w:color="5B9BD5"/>
              <w:left w:val="single" w:sz="4" w:space="0" w:color="5B9BD5"/>
              <w:bottom w:val="single" w:sz="4" w:space="0" w:color="5B9BD5"/>
              <w:right w:val="single" w:sz="4" w:space="0" w:color="5B9BD5"/>
            </w:tcBorders>
            <w:shd w:val="clear" w:color="auto" w:fill="auto"/>
            <w:vAlign w:val="center"/>
            <w:hideMark/>
          </w:tcPr>
          <w:p w:rsidR="00013257" w:rsidRPr="00D1550C" w:rsidRDefault="00013257" w:rsidP="00013257">
            <w:pPr>
              <w:jc w:val="center"/>
              <w:rPr>
                <w:rFonts w:cs="Calibri"/>
                <w:b/>
                <w:bCs/>
                <w:color w:val="000000"/>
                <w:sz w:val="18"/>
                <w:szCs w:val="18"/>
              </w:rPr>
            </w:pPr>
            <w:r w:rsidRPr="00D1550C">
              <w:rPr>
                <w:rFonts w:cs="Calibri"/>
                <w:b/>
                <w:bCs/>
                <w:color w:val="000000"/>
                <w:sz w:val="18"/>
                <w:szCs w:val="18"/>
              </w:rPr>
              <w:t>Concentration coefficient</w:t>
            </w:r>
          </w:p>
        </w:tc>
        <w:tc>
          <w:tcPr>
            <w:tcW w:w="851"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rFonts w:cs="Calibri"/>
                <w:b/>
                <w:bCs/>
                <w:color w:val="000000"/>
                <w:sz w:val="18"/>
                <w:szCs w:val="18"/>
              </w:rPr>
            </w:pPr>
            <w:r w:rsidRPr="00D1550C">
              <w:rPr>
                <w:rFonts w:cs="Calibri"/>
                <w:b/>
                <w:bCs/>
                <w:color w:val="000000"/>
                <w:sz w:val="18"/>
                <w:szCs w:val="18"/>
              </w:rPr>
              <w:t> </w:t>
            </w:r>
          </w:p>
        </w:tc>
        <w:tc>
          <w:tcPr>
            <w:tcW w:w="708"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72,7%</w:t>
            </w:r>
          </w:p>
        </w:tc>
        <w:tc>
          <w:tcPr>
            <w:tcW w:w="851"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 </w:t>
            </w:r>
          </w:p>
        </w:tc>
        <w:tc>
          <w:tcPr>
            <w:tcW w:w="709"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34,6%</w:t>
            </w:r>
          </w:p>
        </w:tc>
        <w:tc>
          <w:tcPr>
            <w:tcW w:w="1134"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 </w:t>
            </w:r>
          </w:p>
        </w:tc>
        <w:tc>
          <w:tcPr>
            <w:tcW w:w="708"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44,6%</w:t>
            </w:r>
          </w:p>
        </w:tc>
        <w:tc>
          <w:tcPr>
            <w:tcW w:w="851"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color w:val="000000"/>
                <w:sz w:val="18"/>
              </w:rPr>
            </w:pPr>
            <w:r w:rsidRPr="00D1550C">
              <w:rPr>
                <w:b/>
                <w:bCs/>
                <w:color w:val="000000"/>
                <w:sz w:val="18"/>
              </w:rPr>
              <w:t> </w:t>
            </w:r>
          </w:p>
        </w:tc>
        <w:tc>
          <w:tcPr>
            <w:tcW w:w="850"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color w:val="000000"/>
                <w:sz w:val="18"/>
              </w:rPr>
            </w:pPr>
            <w:r w:rsidRPr="00D1550C">
              <w:rPr>
                <w:b/>
                <w:bCs/>
                <w:color w:val="000000"/>
                <w:sz w:val="18"/>
              </w:rPr>
              <w:t> </w:t>
            </w:r>
          </w:p>
        </w:tc>
        <w:tc>
          <w:tcPr>
            <w:tcW w:w="709"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61,3%</w:t>
            </w:r>
          </w:p>
        </w:tc>
        <w:tc>
          <w:tcPr>
            <w:tcW w:w="992"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 </w:t>
            </w:r>
          </w:p>
        </w:tc>
        <w:tc>
          <w:tcPr>
            <w:tcW w:w="709"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32,4%</w:t>
            </w:r>
          </w:p>
        </w:tc>
        <w:tc>
          <w:tcPr>
            <w:tcW w:w="1067"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 </w:t>
            </w:r>
          </w:p>
        </w:tc>
        <w:tc>
          <w:tcPr>
            <w:tcW w:w="776"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b/>
                <w:bCs/>
                <w:sz w:val="18"/>
              </w:rPr>
            </w:pPr>
            <w:r w:rsidRPr="00D1550C">
              <w:rPr>
                <w:b/>
                <w:bCs/>
                <w:sz w:val="18"/>
              </w:rPr>
              <w:t>38,2%</w:t>
            </w:r>
          </w:p>
        </w:tc>
        <w:tc>
          <w:tcPr>
            <w:tcW w:w="850" w:type="dxa"/>
            <w:tcBorders>
              <w:top w:val="nil"/>
              <w:left w:val="nil"/>
              <w:bottom w:val="nil"/>
              <w:right w:val="single" w:sz="4" w:space="0" w:color="5B9BD5"/>
            </w:tcBorders>
            <w:shd w:val="clear" w:color="auto" w:fill="auto"/>
            <w:vAlign w:val="center"/>
            <w:hideMark/>
          </w:tcPr>
          <w:p w:rsidR="00013257" w:rsidRPr="00D1550C" w:rsidRDefault="00013257" w:rsidP="00013257">
            <w:pPr>
              <w:jc w:val="center"/>
              <w:rPr>
                <w:rFonts w:cs="Calibri"/>
                <w:b/>
                <w:bCs/>
                <w:color w:val="000000"/>
                <w:sz w:val="18"/>
                <w:szCs w:val="18"/>
              </w:rPr>
            </w:pPr>
            <w:r w:rsidRPr="00D1550C">
              <w:rPr>
                <w:rFonts w:cs="Calibri"/>
                <w:b/>
                <w:bCs/>
                <w:color w:val="000000"/>
                <w:sz w:val="18"/>
                <w:szCs w:val="18"/>
              </w:rPr>
              <w:t> </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Live animals and animal products</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14</w:t>
            </w:r>
          </w:p>
        </w:tc>
        <w:tc>
          <w:tcPr>
            <w:tcW w:w="708"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0,3%</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95</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1,0%</w:t>
            </w:r>
          </w:p>
        </w:tc>
        <w:tc>
          <w:tcPr>
            <w:tcW w:w="1134"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109</w:t>
            </w:r>
          </w:p>
        </w:tc>
        <w:tc>
          <w:tcPr>
            <w:tcW w:w="708"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0,8%</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-82</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19</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0,3%</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193</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1,7%</w:t>
            </w:r>
          </w:p>
        </w:tc>
        <w:tc>
          <w:tcPr>
            <w:tcW w:w="1067"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212</w:t>
            </w:r>
          </w:p>
        </w:tc>
        <w:tc>
          <w:tcPr>
            <w:tcW w:w="776"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1,2%</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-174</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II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Vegetable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537</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10,4%</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378</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4,1%</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916</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6,4%</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159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495</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8,4%</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505</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4,4%</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999</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5,7%</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-10</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III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Fats and oils of  animal or vegetable origin</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20</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149</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1,6%</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168</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1,2%</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-129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238</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2,1%</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240</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1,4%</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-236</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IV</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Products of food processing industry, alcohol, tobacco</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50</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1,0%</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332</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3,6%</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382</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2,7%</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-282</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65</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1,1%</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466</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4,0%</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531</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3,0%</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-400</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V</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Mineral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334</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6,5%</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610</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6,6%</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945</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6,6%</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-276</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353</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6,0%</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717</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6,2%</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1 070</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6,1%</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-365</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VI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 xml:space="preserve">Products of chemical industry. </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240</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4,7%</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1 049</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11,4%</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1 289</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9,0%</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-809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274</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4,6%</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1 279</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11,1%</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1 553</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8,9%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-1 005</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VII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Plastic materials and products: rubber</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153</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3,0%</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478</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5,2%</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631</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4,4%</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-325</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222</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3,7%</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598</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5,2%</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819</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4,7%</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-376</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VIII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Raw hide, leather, raw fur and fur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15</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0,3%</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17</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0,1%</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13</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20</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5</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25</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0,1%</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14</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IX</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Wood and wood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221</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2,4%</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223</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1,6%</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-220</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5</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330</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2,9%</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335</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-326</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Paper pulp</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19</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111</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1,2%</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130</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0,9%</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-92</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22</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150</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1,3%</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172</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1,0%</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-128</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Textiles and textile product</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925</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18,0%</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141</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1,5%</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1 066</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7,4%</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784</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1 514</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25,6%</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221</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1,9%</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1 735</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10,0%</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1 293</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XII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Footwear and headwear, umbrellas, canes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21</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7</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28</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14</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17</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14</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31</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0,2%</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XIII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Products of stone, gypsum, cement, and asbestos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25</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0,5%</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99</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1,1%</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124</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0,9%</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-74</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55</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0,9%</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154</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1,3%</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210</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1,2%</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-99</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XIV</w:t>
            </w:r>
          </w:p>
        </w:tc>
        <w:tc>
          <w:tcPr>
            <w:tcW w:w="2772" w:type="dxa"/>
            <w:tcBorders>
              <w:top w:val="nil"/>
              <w:left w:val="nil"/>
              <w:bottom w:val="single" w:sz="4" w:space="0" w:color="5B9BD5"/>
              <w:right w:val="single" w:sz="4" w:space="0" w:color="5B9BD5"/>
            </w:tcBorders>
            <w:shd w:val="clear" w:color="auto" w:fill="auto"/>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Precious metals, precious and semiprecious stones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2 160</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41,9%</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26</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0,3%</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2 186</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15,3%</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2134</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1 691</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28,6%</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35</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0,3%</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1 726</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9,9%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1 656</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lastRenderedPageBreak/>
              <w:t>XV</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Nonprecious metals and products of them</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461</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9,0%</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1 149</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12,5%</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1 610</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11,2%</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-688</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761</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12,9%</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1 482</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12,9%</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2 243</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12,9%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-722</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XVI</w:t>
            </w:r>
          </w:p>
        </w:tc>
        <w:tc>
          <w:tcPr>
            <w:tcW w:w="2772" w:type="dxa"/>
            <w:tcBorders>
              <w:top w:val="nil"/>
              <w:left w:val="nil"/>
              <w:bottom w:val="single" w:sz="4" w:space="0" w:color="5B9BD5"/>
              <w:right w:val="single" w:sz="4" w:space="0" w:color="5B9BD5"/>
            </w:tcBorders>
            <w:shd w:val="clear" w:color="auto" w:fill="auto"/>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Machines, equipment, machinery, electrical equipment</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80</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1,5%</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2 862</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31,2%</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2 941</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20,5%</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-2 782</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180</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3,0%</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3 047</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26,5%</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3 227</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18,5%</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-2 868</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XVII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Means of land, air, and water transport</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78</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1,5%</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969</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10,6%</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1 047</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7,3%</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-890</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200</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3,4%</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1 344</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11,7%</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1 544</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8,9%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-1 144</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XVIII</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Optical instruments and equipment, photographic</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4</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0,1%</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272</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3,0%</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276</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1,9%</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-268</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9</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353</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3,1%</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363</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2,1%</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-344</w:t>
            </w:r>
          </w:p>
        </w:tc>
      </w:tr>
      <w:tr w:rsidR="00013257" w:rsidRPr="00D1550C" w:rsidTr="00BA0530">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XX</w:t>
            </w:r>
          </w:p>
        </w:tc>
        <w:tc>
          <w:tcPr>
            <w:tcW w:w="277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Miscellaneous manufactured goods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12</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211</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2,3%</w:t>
            </w:r>
          </w:p>
        </w:tc>
        <w:tc>
          <w:tcPr>
            <w:tcW w:w="1134"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222</w:t>
            </w:r>
          </w:p>
        </w:tc>
        <w:tc>
          <w:tcPr>
            <w:tcW w:w="708"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1,6%</w:t>
            </w:r>
          </w:p>
        </w:tc>
        <w:tc>
          <w:tcPr>
            <w:tcW w:w="851"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-199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14</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321</w:t>
            </w:r>
          </w:p>
        </w:tc>
        <w:tc>
          <w:tcPr>
            <w:tcW w:w="709"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2,8%</w:t>
            </w:r>
          </w:p>
        </w:tc>
        <w:tc>
          <w:tcPr>
            <w:tcW w:w="1067"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335</w:t>
            </w:r>
          </w:p>
        </w:tc>
        <w:tc>
          <w:tcPr>
            <w:tcW w:w="776"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1,9%</w:t>
            </w:r>
          </w:p>
        </w:tc>
        <w:tc>
          <w:tcPr>
            <w:tcW w:w="850" w:type="dxa"/>
            <w:tcBorders>
              <w:top w:val="nil"/>
              <w:left w:val="nil"/>
              <w:bottom w:val="single" w:sz="4" w:space="0" w:color="5B9BD5"/>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-306</w:t>
            </w:r>
          </w:p>
        </w:tc>
      </w:tr>
      <w:tr w:rsidR="00013257" w:rsidRPr="00D1550C" w:rsidTr="00BA0530">
        <w:trPr>
          <w:trHeight w:val="510"/>
        </w:trPr>
        <w:tc>
          <w:tcPr>
            <w:tcW w:w="767" w:type="dxa"/>
            <w:tcBorders>
              <w:top w:val="nil"/>
              <w:left w:val="single" w:sz="4" w:space="0" w:color="5B9BD5"/>
              <w:bottom w:val="nil"/>
              <w:right w:val="single" w:sz="4" w:space="0" w:color="5B9BD5"/>
            </w:tcBorders>
            <w:shd w:val="clear" w:color="auto" w:fill="auto"/>
            <w:noWrap/>
            <w:vAlign w:val="center"/>
            <w:hideMark/>
          </w:tcPr>
          <w:p w:rsidR="00013257" w:rsidRPr="00D1550C" w:rsidRDefault="00013257" w:rsidP="00013257">
            <w:pPr>
              <w:jc w:val="center"/>
              <w:rPr>
                <w:rFonts w:cs="Calibri"/>
                <w:color w:val="000000"/>
                <w:sz w:val="18"/>
                <w:szCs w:val="18"/>
              </w:rPr>
            </w:pPr>
            <w:r w:rsidRPr="00D1550C">
              <w:rPr>
                <w:rFonts w:cs="Calibri"/>
                <w:color w:val="000000"/>
                <w:sz w:val="18"/>
                <w:szCs w:val="18"/>
              </w:rPr>
              <w:t>XXI</w:t>
            </w:r>
          </w:p>
        </w:tc>
        <w:tc>
          <w:tcPr>
            <w:tcW w:w="2772" w:type="dxa"/>
            <w:tcBorders>
              <w:top w:val="nil"/>
              <w:left w:val="nil"/>
              <w:bottom w:val="nil"/>
              <w:right w:val="single" w:sz="4" w:space="0" w:color="5B9BD5"/>
            </w:tcBorders>
            <w:shd w:val="clear" w:color="auto" w:fill="auto"/>
            <w:noWrap/>
            <w:vAlign w:val="center"/>
            <w:hideMark/>
          </w:tcPr>
          <w:p w:rsidR="00013257" w:rsidRPr="00D1550C" w:rsidRDefault="00013257" w:rsidP="00013257">
            <w:pPr>
              <w:rPr>
                <w:rFonts w:cs="Calibri"/>
                <w:color w:val="000000"/>
                <w:sz w:val="18"/>
                <w:szCs w:val="18"/>
              </w:rPr>
            </w:pPr>
            <w:r w:rsidRPr="00D1550C">
              <w:rPr>
                <w:rFonts w:cs="Calibri"/>
                <w:color w:val="000000"/>
                <w:sz w:val="18"/>
                <w:szCs w:val="18"/>
              </w:rPr>
              <w:t>Works of art, antique</w:t>
            </w:r>
          </w:p>
        </w:tc>
        <w:tc>
          <w:tcPr>
            <w:tcW w:w="851" w:type="dxa"/>
            <w:tcBorders>
              <w:top w:val="nil"/>
              <w:left w:val="single" w:sz="4" w:space="0" w:color="5B9BD5"/>
              <w:bottom w:val="nil"/>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0</w:t>
            </w:r>
          </w:p>
        </w:tc>
        <w:tc>
          <w:tcPr>
            <w:tcW w:w="708"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851"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w:t>
            </w:r>
          </w:p>
        </w:tc>
        <w:tc>
          <w:tcPr>
            <w:tcW w:w="709"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1134"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w:t>
            </w:r>
          </w:p>
        </w:tc>
        <w:tc>
          <w:tcPr>
            <w:tcW w:w="708"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851"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w:t>
            </w:r>
          </w:p>
        </w:tc>
        <w:tc>
          <w:tcPr>
            <w:tcW w:w="850"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0</w:t>
            </w:r>
          </w:p>
        </w:tc>
        <w:tc>
          <w:tcPr>
            <w:tcW w:w="709"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992"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w:t>
            </w:r>
          </w:p>
        </w:tc>
        <w:tc>
          <w:tcPr>
            <w:tcW w:w="709"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1067"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w:t>
            </w:r>
          </w:p>
        </w:tc>
        <w:tc>
          <w:tcPr>
            <w:tcW w:w="776"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
                <w:iCs/>
                <w:color w:val="000000"/>
                <w:sz w:val="18"/>
                <w:szCs w:val="18"/>
              </w:rPr>
            </w:pPr>
            <w:r w:rsidRPr="00D1550C">
              <w:rPr>
                <w:rFonts w:cs="Calibri"/>
                <w:i/>
                <w:iCs/>
                <w:color w:val="000000"/>
                <w:sz w:val="18"/>
                <w:szCs w:val="18"/>
              </w:rPr>
              <w:t>0,0%</w:t>
            </w:r>
          </w:p>
        </w:tc>
        <w:tc>
          <w:tcPr>
            <w:tcW w:w="850" w:type="dxa"/>
            <w:tcBorders>
              <w:top w:val="nil"/>
              <w:left w:val="nil"/>
              <w:bottom w:val="nil"/>
              <w:right w:val="single" w:sz="4" w:space="0" w:color="5B9BD5"/>
            </w:tcBorders>
            <w:shd w:val="clear" w:color="auto" w:fill="auto"/>
            <w:noWrap/>
            <w:vAlign w:val="center"/>
            <w:hideMark/>
          </w:tcPr>
          <w:p w:rsidR="00013257" w:rsidRPr="00D1550C" w:rsidRDefault="00013257" w:rsidP="00013257">
            <w:pPr>
              <w:jc w:val="center"/>
              <w:rPr>
                <w:rFonts w:cs="Calibri"/>
                <w:iCs/>
                <w:color w:val="000000"/>
                <w:sz w:val="18"/>
                <w:szCs w:val="18"/>
              </w:rPr>
            </w:pPr>
            <w:r w:rsidRPr="00D1550C">
              <w:rPr>
                <w:rFonts w:cs="Calibri"/>
                <w:iCs/>
                <w:color w:val="000000"/>
                <w:sz w:val="18"/>
                <w:szCs w:val="18"/>
              </w:rPr>
              <w:t>-2</w:t>
            </w:r>
          </w:p>
        </w:tc>
      </w:tr>
      <w:tr w:rsidR="00BA0530" w:rsidRPr="00D1550C" w:rsidTr="00BA0530">
        <w:trPr>
          <w:trHeight w:val="20"/>
        </w:trPr>
        <w:tc>
          <w:tcPr>
            <w:tcW w:w="3539" w:type="dxa"/>
            <w:gridSpan w:val="2"/>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bCs/>
                <w:color w:val="000000"/>
                <w:sz w:val="18"/>
                <w:szCs w:val="18"/>
              </w:rPr>
            </w:pPr>
            <w:r w:rsidRPr="00D1550C">
              <w:rPr>
                <w:rFonts w:cs="Calibri"/>
                <w:b/>
                <w:bCs/>
                <w:color w:val="000000"/>
                <w:sz w:val="18"/>
                <w:szCs w:val="18"/>
              </w:rPr>
              <w:t>Total</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5 149</w:t>
            </w:r>
          </w:p>
        </w:tc>
        <w:tc>
          <w:tcPr>
            <w:tcW w:w="708"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100%</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9 177</w:t>
            </w:r>
          </w:p>
        </w:tc>
        <w:tc>
          <w:tcPr>
            <w:tcW w:w="709"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100%</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14 326</w:t>
            </w:r>
          </w:p>
        </w:tc>
        <w:tc>
          <w:tcPr>
            <w:tcW w:w="708"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100%</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-4 028</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5 916</w:t>
            </w:r>
          </w:p>
        </w:tc>
        <w:tc>
          <w:tcPr>
            <w:tcW w:w="709"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100%</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ind w:left="-149" w:right="-84"/>
              <w:jc w:val="center"/>
              <w:rPr>
                <w:rFonts w:cs="Calibri"/>
                <w:b/>
                <w:iCs/>
                <w:color w:val="000000"/>
                <w:sz w:val="18"/>
                <w:szCs w:val="18"/>
              </w:rPr>
            </w:pPr>
            <w:r w:rsidRPr="00D1550C">
              <w:rPr>
                <w:rFonts w:cs="Calibri"/>
                <w:b/>
                <w:iCs/>
                <w:color w:val="000000"/>
                <w:sz w:val="18"/>
                <w:szCs w:val="18"/>
              </w:rPr>
              <w:t>11 516</w:t>
            </w:r>
          </w:p>
        </w:tc>
        <w:tc>
          <w:tcPr>
            <w:tcW w:w="709"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100%</w:t>
            </w:r>
          </w:p>
        </w:tc>
        <w:tc>
          <w:tcPr>
            <w:tcW w:w="1067"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17 434</w:t>
            </w:r>
          </w:p>
        </w:tc>
        <w:tc>
          <w:tcPr>
            <w:tcW w:w="776"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100%</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BA0530" w:rsidRPr="00D1550C" w:rsidRDefault="00BA0530" w:rsidP="00BA0530">
            <w:pPr>
              <w:jc w:val="center"/>
              <w:rPr>
                <w:rFonts w:cs="Calibri"/>
                <w:b/>
                <w:iCs/>
                <w:color w:val="000000"/>
                <w:sz w:val="18"/>
                <w:szCs w:val="18"/>
              </w:rPr>
            </w:pPr>
            <w:r w:rsidRPr="00D1550C">
              <w:rPr>
                <w:rFonts w:cs="Calibri"/>
                <w:b/>
                <w:iCs/>
                <w:color w:val="000000"/>
                <w:sz w:val="18"/>
                <w:szCs w:val="18"/>
              </w:rPr>
              <w:t>-5 602</w:t>
            </w:r>
          </w:p>
        </w:tc>
      </w:tr>
    </w:tbl>
    <w:p w:rsidR="009B676C" w:rsidRPr="00D1550C" w:rsidRDefault="00840920" w:rsidP="009B676C">
      <w:pPr>
        <w:tabs>
          <w:tab w:val="left" w:pos="1428"/>
        </w:tabs>
        <w:rPr>
          <w:i/>
          <w:sz w:val="20"/>
          <w:szCs w:val="20"/>
        </w:rPr>
      </w:pPr>
      <w:r w:rsidRPr="00D1550C">
        <w:rPr>
          <w:rFonts w:cs="Calibri"/>
          <w:i/>
          <w:sz w:val="20"/>
          <w:szCs w:val="20"/>
        </w:rPr>
        <w:t xml:space="preserve"> </w:t>
      </w:r>
    </w:p>
    <w:p w:rsidR="007D34F7" w:rsidRPr="00D1550C" w:rsidRDefault="007D34F7" w:rsidP="00AE3756">
      <w:pPr>
        <w:jc w:val="right"/>
        <w:rPr>
          <w:rFonts w:cs="Arial"/>
        </w:rPr>
        <w:sectPr w:rsidR="007D34F7" w:rsidRPr="00D1550C" w:rsidSect="00EC0010">
          <w:pgSz w:w="16838" w:h="11906" w:orient="landscape"/>
          <w:pgMar w:top="1134" w:right="1134" w:bottom="1134" w:left="1134" w:header="709" w:footer="709" w:gutter="0"/>
          <w:cols w:space="708"/>
          <w:docGrid w:linePitch="360"/>
        </w:sectPr>
      </w:pPr>
    </w:p>
    <w:p w:rsidR="002F3AD6" w:rsidRPr="00D1550C" w:rsidRDefault="008634C9" w:rsidP="003B4C2F">
      <w:pPr>
        <w:spacing w:before="120" w:after="240" w:line="360" w:lineRule="auto"/>
        <w:ind w:right="-59"/>
        <w:jc w:val="right"/>
        <w:rPr>
          <w:i/>
          <w:sz w:val="22"/>
          <w:szCs w:val="22"/>
        </w:rPr>
      </w:pPr>
      <w:r w:rsidRPr="00D1550C">
        <w:rPr>
          <w:i/>
          <w:sz w:val="22"/>
          <w:szCs w:val="22"/>
        </w:rPr>
        <w:lastRenderedPageBreak/>
        <w:t>Addenda</w:t>
      </w:r>
      <w:r w:rsidR="002F3AD6" w:rsidRPr="00D1550C">
        <w:rPr>
          <w:i/>
          <w:sz w:val="22"/>
          <w:szCs w:val="22"/>
        </w:rPr>
        <w:t xml:space="preserve"> </w:t>
      </w:r>
      <w:r w:rsidR="000161BB" w:rsidRPr="00D1550C">
        <w:rPr>
          <w:i/>
          <w:sz w:val="22"/>
          <w:szCs w:val="22"/>
        </w:rPr>
        <w:t>6</w:t>
      </w:r>
      <w:r w:rsidR="00AE3756" w:rsidRPr="00D1550C">
        <w:rPr>
          <w:i/>
          <w:sz w:val="22"/>
          <w:szCs w:val="22"/>
        </w:rPr>
        <w:t>.1</w:t>
      </w:r>
    </w:p>
    <w:p w:rsidR="00AE3756" w:rsidRPr="00D1550C" w:rsidRDefault="008634C9" w:rsidP="00A977FE">
      <w:pPr>
        <w:pStyle w:val="1"/>
        <w:ind w:left="0"/>
        <w:jc w:val="center"/>
        <w:rPr>
          <w:rFonts w:ascii="Calibri" w:hAnsi="Calibri" w:cs="Calibri"/>
          <w:szCs w:val="24"/>
          <w:lang w:val="en-US"/>
        </w:rPr>
      </w:pPr>
      <w:bookmarkStart w:id="28" w:name="_Toc83291132"/>
      <w:r w:rsidRPr="00D1550C">
        <w:rPr>
          <w:rFonts w:ascii="Calibri" w:hAnsi="Calibri" w:cs="Calibri"/>
          <w:szCs w:val="24"/>
          <w:lang w:val="en-US"/>
        </w:rPr>
        <w:t xml:space="preserve">EXPORTED GOODS WITH HIGH COEFFICIENT OF PRODUCT CONCENTRATION </w:t>
      </w:r>
      <w:r w:rsidR="00066516" w:rsidRPr="00D1550C">
        <w:rPr>
          <w:rFonts w:ascii="Calibri" w:hAnsi="Calibri" w:cs="Calibri"/>
          <w:szCs w:val="24"/>
          <w:lang w:val="en-US"/>
        </w:rPr>
        <w:br/>
      </w:r>
      <w:r w:rsidR="00FE4E34" w:rsidRPr="00D1550C">
        <w:rPr>
          <w:rFonts w:ascii="Calibri" w:hAnsi="Calibri" w:cs="Calibri"/>
          <w:szCs w:val="24"/>
          <w:lang w:val="en-US"/>
        </w:rPr>
        <w:t xml:space="preserve">FOR </w:t>
      </w:r>
      <w:r w:rsidR="00320FFF" w:rsidRPr="00D1550C">
        <w:rPr>
          <w:rFonts w:ascii="Calibri" w:hAnsi="Calibri" w:cs="Calibri"/>
          <w:szCs w:val="24"/>
          <w:lang w:val="en-US"/>
        </w:rPr>
        <w:t>201</w:t>
      </w:r>
      <w:r w:rsidR="00320717" w:rsidRPr="00D1550C">
        <w:rPr>
          <w:rFonts w:ascii="Calibri" w:hAnsi="Calibri" w:cs="Calibri"/>
          <w:szCs w:val="24"/>
          <w:lang w:val="en-US"/>
        </w:rPr>
        <w:t>9-</w:t>
      </w:r>
      <w:r w:rsidR="005D7492" w:rsidRPr="00D1550C">
        <w:rPr>
          <w:rFonts w:ascii="Calibri" w:hAnsi="Calibri" w:cs="Calibri"/>
          <w:szCs w:val="24"/>
          <w:lang w:val="en-US"/>
        </w:rPr>
        <w:t>2020</w:t>
      </w:r>
      <w:r w:rsidR="00320717" w:rsidRPr="00D1550C">
        <w:rPr>
          <w:rFonts w:ascii="Calibri" w:hAnsi="Calibri" w:cs="Calibri"/>
          <w:szCs w:val="24"/>
          <w:lang w:val="en-US"/>
        </w:rPr>
        <w:t xml:space="preserve"> AND </w:t>
      </w:r>
      <w:r w:rsidR="006A6DAA" w:rsidRPr="00D1550C">
        <w:rPr>
          <w:rFonts w:ascii="Calibri" w:hAnsi="Calibri" w:cs="Calibri"/>
          <w:szCs w:val="24"/>
          <w:lang w:val="en-US"/>
        </w:rPr>
        <w:t xml:space="preserve">FOR THE </w:t>
      </w:r>
      <w:r w:rsidR="00B457BE" w:rsidRPr="00D1550C">
        <w:rPr>
          <w:rFonts w:ascii="Calibri" w:hAnsi="Calibri" w:cs="Calibri"/>
          <w:szCs w:val="24"/>
          <w:lang w:val="en-US"/>
        </w:rPr>
        <w:t>FIRST</w:t>
      </w:r>
      <w:r w:rsidR="00320717" w:rsidRPr="00D1550C">
        <w:rPr>
          <w:rFonts w:ascii="Calibri" w:hAnsi="Calibri" w:cs="Calibri"/>
          <w:szCs w:val="24"/>
          <w:lang w:val="en-US"/>
        </w:rPr>
        <w:t xml:space="preserve"> </w:t>
      </w:r>
      <w:r w:rsidR="00C950AC" w:rsidRPr="00D1550C">
        <w:rPr>
          <w:rFonts w:ascii="Calibri" w:hAnsi="Calibri" w:cs="Calibri"/>
          <w:szCs w:val="24"/>
          <w:lang w:val="en-US"/>
        </w:rPr>
        <w:t>HALF</w:t>
      </w:r>
      <w:r w:rsidR="00320717" w:rsidRPr="00D1550C">
        <w:rPr>
          <w:rFonts w:ascii="Calibri" w:hAnsi="Calibri" w:cs="Calibri"/>
          <w:szCs w:val="24"/>
          <w:lang w:val="en-US"/>
        </w:rPr>
        <w:t xml:space="preserve"> OF 2021.</w:t>
      </w:r>
      <w:bookmarkEnd w:id="28"/>
    </w:p>
    <w:p w:rsidR="00AE3756" w:rsidRPr="00D1550C" w:rsidRDefault="00585EBB" w:rsidP="003B4C2F">
      <w:pPr>
        <w:tabs>
          <w:tab w:val="left" w:pos="1428"/>
        </w:tabs>
        <w:ind w:right="-59"/>
        <w:jc w:val="right"/>
        <w:rPr>
          <w:i/>
          <w:sz w:val="20"/>
          <w:szCs w:val="20"/>
        </w:rPr>
      </w:pPr>
      <w:r w:rsidRPr="00D1550C">
        <w:rPr>
          <w:i/>
          <w:sz w:val="20"/>
          <w:szCs w:val="20"/>
        </w:rPr>
        <w:t>(</w:t>
      </w:r>
      <w:r w:rsidR="008634C9" w:rsidRPr="00D1550C">
        <w:rPr>
          <w:i/>
          <w:sz w:val="20"/>
          <w:szCs w:val="20"/>
        </w:rPr>
        <w:t>mln</w:t>
      </w:r>
      <w:r w:rsidR="00AE3756" w:rsidRPr="00D1550C">
        <w:rPr>
          <w:i/>
          <w:sz w:val="20"/>
          <w:szCs w:val="20"/>
        </w:rPr>
        <w:t xml:space="preserve">. </w:t>
      </w:r>
      <w:r w:rsidR="008634C9" w:rsidRPr="00D1550C">
        <w:rPr>
          <w:i/>
          <w:sz w:val="20"/>
          <w:szCs w:val="20"/>
        </w:rPr>
        <w:t>USD</w:t>
      </w:r>
      <w:r w:rsidRPr="00D1550C">
        <w:rPr>
          <w:i/>
          <w:sz w:val="20"/>
          <w:szCs w:val="20"/>
        </w:rPr>
        <w:t>)</w:t>
      </w:r>
    </w:p>
    <w:tbl>
      <w:tblPr>
        <w:tblW w:w="14852" w:type="dxa"/>
        <w:tblLook w:val="04A0" w:firstRow="1" w:lastRow="0" w:firstColumn="1" w:lastColumn="0" w:noHBand="0" w:noVBand="1"/>
      </w:tblPr>
      <w:tblGrid>
        <w:gridCol w:w="890"/>
        <w:gridCol w:w="4634"/>
        <w:gridCol w:w="1134"/>
        <w:gridCol w:w="1134"/>
        <w:gridCol w:w="965"/>
        <w:gridCol w:w="992"/>
        <w:gridCol w:w="993"/>
        <w:gridCol w:w="1019"/>
        <w:gridCol w:w="1156"/>
        <w:gridCol w:w="943"/>
        <w:gridCol w:w="992"/>
      </w:tblGrid>
      <w:tr w:rsidR="00C950AC" w:rsidRPr="00D1550C" w:rsidTr="00C950AC">
        <w:trPr>
          <w:trHeight w:val="315"/>
          <w:tblHeader/>
        </w:trPr>
        <w:tc>
          <w:tcPr>
            <w:tcW w:w="89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Section</w:t>
            </w:r>
          </w:p>
        </w:tc>
        <w:tc>
          <w:tcPr>
            <w:tcW w:w="46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Name of product groups</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For 2019</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For 2020</w:t>
            </w:r>
          </w:p>
        </w:tc>
        <w:tc>
          <w:tcPr>
            <w:tcW w:w="3969" w:type="dxa"/>
            <w:gridSpan w:val="4"/>
            <w:tcBorders>
              <w:top w:val="single" w:sz="4" w:space="0" w:color="5B9BD5"/>
              <w:left w:val="nil"/>
              <w:bottom w:val="single" w:sz="4" w:space="0" w:color="5B9BD5"/>
              <w:right w:val="single" w:sz="4" w:space="0" w:color="5B9BD5"/>
            </w:tcBorders>
            <w:shd w:val="clear" w:color="auto" w:fill="auto"/>
            <w:noWrap/>
            <w:vAlign w:val="bottom"/>
            <w:hideMark/>
          </w:tcPr>
          <w:p w:rsidR="00C950AC" w:rsidRPr="00D1550C" w:rsidRDefault="00C950AC" w:rsidP="00C950AC">
            <w:pPr>
              <w:jc w:val="center"/>
              <w:rPr>
                <w:rFonts w:cs="Calibri"/>
                <w:b/>
                <w:bCs/>
                <w:color w:val="000000"/>
                <w:sz w:val="20"/>
              </w:rPr>
            </w:pPr>
            <w:r w:rsidRPr="00D1550C">
              <w:rPr>
                <w:rFonts w:cs="Calibri"/>
                <w:b/>
                <w:bCs/>
                <w:color w:val="000000"/>
                <w:sz w:val="20"/>
              </w:rPr>
              <w:t>2020</w:t>
            </w:r>
          </w:p>
        </w:tc>
        <w:tc>
          <w:tcPr>
            <w:tcW w:w="1156" w:type="dxa"/>
            <w:vMerge w:val="restart"/>
            <w:tcBorders>
              <w:top w:val="single" w:sz="4" w:space="0" w:color="5B9BD5"/>
              <w:left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For 2021</w:t>
            </w:r>
          </w:p>
        </w:tc>
        <w:tc>
          <w:tcPr>
            <w:tcW w:w="1935" w:type="dxa"/>
            <w:gridSpan w:val="2"/>
            <w:tcBorders>
              <w:top w:val="single" w:sz="4" w:space="0" w:color="5B9BD5"/>
              <w:left w:val="nil"/>
              <w:bottom w:val="single" w:sz="4" w:space="0" w:color="5B9BD5"/>
              <w:right w:val="single" w:sz="4" w:space="0" w:color="5B9BD5"/>
            </w:tcBorders>
            <w:shd w:val="clear" w:color="auto" w:fill="auto"/>
            <w:noWrap/>
            <w:vAlign w:val="bottom"/>
            <w:hideMark/>
          </w:tcPr>
          <w:p w:rsidR="00C950AC" w:rsidRPr="00D1550C" w:rsidRDefault="00C950AC" w:rsidP="00C950AC">
            <w:pPr>
              <w:jc w:val="center"/>
              <w:rPr>
                <w:rFonts w:cs="Calibri"/>
                <w:b/>
                <w:bCs/>
                <w:color w:val="000000"/>
                <w:sz w:val="20"/>
              </w:rPr>
            </w:pPr>
            <w:r w:rsidRPr="00D1550C">
              <w:rPr>
                <w:rFonts w:cs="Calibri"/>
                <w:b/>
                <w:bCs/>
                <w:color w:val="000000"/>
                <w:sz w:val="20"/>
              </w:rPr>
              <w:t>2021</w:t>
            </w:r>
          </w:p>
        </w:tc>
      </w:tr>
      <w:tr w:rsidR="00C950AC" w:rsidRPr="00D1550C" w:rsidTr="00C950AC">
        <w:trPr>
          <w:trHeight w:val="555"/>
          <w:tblHeader/>
        </w:trPr>
        <w:tc>
          <w:tcPr>
            <w:tcW w:w="890" w:type="dxa"/>
            <w:vMerge/>
            <w:tcBorders>
              <w:top w:val="single" w:sz="4" w:space="0" w:color="5B9BD5"/>
              <w:left w:val="single" w:sz="4" w:space="0" w:color="5B9BD5"/>
              <w:bottom w:val="single" w:sz="4" w:space="0" w:color="5B9BD5"/>
              <w:right w:val="single" w:sz="4" w:space="0" w:color="5B9BD5"/>
            </w:tcBorders>
            <w:vAlign w:val="center"/>
            <w:hideMark/>
          </w:tcPr>
          <w:p w:rsidR="00C950AC" w:rsidRPr="00D1550C" w:rsidRDefault="00C950AC" w:rsidP="00C950AC">
            <w:pPr>
              <w:rPr>
                <w:rFonts w:cs="Calibri"/>
                <w:b/>
                <w:bCs/>
                <w:color w:val="000000"/>
                <w:sz w:val="20"/>
              </w:rPr>
            </w:pPr>
          </w:p>
        </w:tc>
        <w:tc>
          <w:tcPr>
            <w:tcW w:w="4634" w:type="dxa"/>
            <w:vMerge/>
            <w:tcBorders>
              <w:top w:val="single" w:sz="4" w:space="0" w:color="5B9BD5"/>
              <w:left w:val="single" w:sz="4" w:space="0" w:color="5B9BD5"/>
              <w:bottom w:val="single" w:sz="4" w:space="0" w:color="5B9BD5"/>
              <w:right w:val="single" w:sz="4" w:space="0" w:color="5B9BD5"/>
            </w:tcBorders>
            <w:vAlign w:val="center"/>
            <w:hideMark/>
          </w:tcPr>
          <w:p w:rsidR="00C950AC" w:rsidRPr="00D1550C" w:rsidRDefault="00C950AC" w:rsidP="00C950AC">
            <w:pPr>
              <w:rPr>
                <w:rFonts w:cs="Calibri"/>
                <w:b/>
                <w:bCs/>
                <w:color w:val="000000"/>
                <w:sz w:val="20"/>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C950AC" w:rsidRPr="00D1550C" w:rsidRDefault="00C950AC" w:rsidP="00C950AC">
            <w:pPr>
              <w:rPr>
                <w:rFonts w:cs="Calibri"/>
                <w:b/>
                <w:bCs/>
                <w:color w:val="000000"/>
                <w:sz w:val="20"/>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C950AC" w:rsidRPr="00D1550C" w:rsidRDefault="00C950AC" w:rsidP="00C950AC">
            <w:pPr>
              <w:rPr>
                <w:rFonts w:cs="Calibri"/>
                <w:b/>
                <w:bCs/>
                <w:color w:val="000000"/>
                <w:sz w:val="20"/>
              </w:rPr>
            </w:pPr>
          </w:p>
        </w:tc>
        <w:tc>
          <w:tcPr>
            <w:tcW w:w="965"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1Q</w:t>
            </w:r>
          </w:p>
        </w:tc>
        <w:tc>
          <w:tcPr>
            <w:tcW w:w="992"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2Q</w:t>
            </w:r>
          </w:p>
        </w:tc>
        <w:tc>
          <w:tcPr>
            <w:tcW w:w="993"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3Q</w:t>
            </w:r>
          </w:p>
        </w:tc>
        <w:tc>
          <w:tcPr>
            <w:tcW w:w="1019"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4Q</w:t>
            </w:r>
          </w:p>
        </w:tc>
        <w:tc>
          <w:tcPr>
            <w:tcW w:w="1156" w:type="dxa"/>
            <w:vMerge/>
            <w:tcBorders>
              <w:left w:val="single" w:sz="4" w:space="0" w:color="5B9BD5"/>
              <w:bottom w:val="single" w:sz="4" w:space="0" w:color="5B9BD5"/>
              <w:right w:val="single" w:sz="4" w:space="0" w:color="5B9BD5"/>
            </w:tcBorders>
            <w:vAlign w:val="center"/>
            <w:hideMark/>
          </w:tcPr>
          <w:p w:rsidR="00C950AC" w:rsidRPr="00D1550C" w:rsidRDefault="00C950AC" w:rsidP="00C950AC">
            <w:pPr>
              <w:rPr>
                <w:rFonts w:cs="Calibri"/>
                <w:b/>
                <w:bCs/>
                <w:color w:val="000000"/>
                <w:sz w:val="20"/>
              </w:rPr>
            </w:pPr>
          </w:p>
        </w:tc>
        <w:tc>
          <w:tcPr>
            <w:tcW w:w="943"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1Q</w:t>
            </w:r>
          </w:p>
        </w:tc>
        <w:tc>
          <w:tcPr>
            <w:tcW w:w="992"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2Q</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 </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b/>
                <w:bCs/>
                <w:color w:val="000000"/>
                <w:sz w:val="20"/>
              </w:rPr>
            </w:pPr>
            <w:r w:rsidRPr="00D1550C">
              <w:rPr>
                <w:rFonts w:cs="Calibri"/>
                <w:b/>
                <w:bCs/>
                <w:color w:val="000000"/>
                <w:sz w:val="20"/>
              </w:rPr>
              <w:t>Total exports</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13 664,5</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12 779,2</w:t>
            </w:r>
          </w:p>
        </w:tc>
        <w:tc>
          <w:tcPr>
            <w:tcW w:w="965"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2 571,4</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2 577,5</w:t>
            </w:r>
          </w:p>
        </w:tc>
        <w:tc>
          <w:tcPr>
            <w:tcW w:w="99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5 612,9</w:t>
            </w:r>
          </w:p>
        </w:tc>
        <w:tc>
          <w:tcPr>
            <w:tcW w:w="1019"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2 017,4</w:t>
            </w:r>
          </w:p>
        </w:tc>
        <w:tc>
          <w:tcPr>
            <w:tcW w:w="1156"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5 915,9</w:t>
            </w:r>
          </w:p>
        </w:tc>
        <w:tc>
          <w:tcPr>
            <w:tcW w:w="94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1 924,1</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3 991,8</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b/>
                <w:bCs/>
                <w:color w:val="000000"/>
                <w:sz w:val="20"/>
              </w:rPr>
            </w:pPr>
            <w:r w:rsidRPr="00D1550C">
              <w:rPr>
                <w:rFonts w:cs="Calibri"/>
                <w:b/>
                <w:bCs/>
                <w:color w:val="000000"/>
                <w:sz w:val="20"/>
              </w:rPr>
              <w:t> </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20"/>
              <w:rPr>
                <w:rFonts w:cs="Calibri"/>
                <w:color w:val="000000"/>
                <w:sz w:val="22"/>
              </w:rPr>
            </w:pPr>
            <w:r w:rsidRPr="00D1550C">
              <w:rPr>
                <w:rFonts w:cs="Calibri"/>
                <w:color w:val="000000"/>
                <w:sz w:val="22"/>
              </w:rPr>
              <w:t>Main export nomenclature</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2"/>
              </w:rPr>
            </w:pPr>
            <w:r w:rsidRPr="00D1550C">
              <w:rPr>
                <w:rFonts w:cs="Calibri"/>
                <w:color w:val="000000"/>
                <w:sz w:val="22"/>
              </w:rPr>
              <w:t>11 902,5</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2"/>
              </w:rPr>
            </w:pPr>
            <w:r w:rsidRPr="00D1550C">
              <w:rPr>
                <w:rFonts w:cs="Calibri"/>
                <w:color w:val="000000"/>
                <w:sz w:val="22"/>
              </w:rPr>
              <w:t>10 810,6</w:t>
            </w:r>
          </w:p>
        </w:tc>
        <w:tc>
          <w:tcPr>
            <w:tcW w:w="965"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2"/>
              </w:rPr>
            </w:pPr>
            <w:r w:rsidRPr="00D1550C">
              <w:rPr>
                <w:rFonts w:cs="Calibri"/>
                <w:color w:val="000000"/>
                <w:sz w:val="22"/>
              </w:rPr>
              <w:t>2 175,3</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2"/>
              </w:rPr>
            </w:pPr>
            <w:r w:rsidRPr="00D1550C">
              <w:rPr>
                <w:rFonts w:cs="Calibri"/>
                <w:color w:val="000000"/>
                <w:sz w:val="22"/>
              </w:rPr>
              <w:t>2 215,0</w:t>
            </w:r>
          </w:p>
        </w:tc>
        <w:tc>
          <w:tcPr>
            <w:tcW w:w="99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2"/>
              </w:rPr>
            </w:pPr>
            <w:r w:rsidRPr="00D1550C">
              <w:rPr>
                <w:rFonts w:cs="Calibri"/>
                <w:color w:val="000000"/>
                <w:sz w:val="22"/>
              </w:rPr>
              <w:t>5 002,2</w:t>
            </w:r>
          </w:p>
        </w:tc>
        <w:tc>
          <w:tcPr>
            <w:tcW w:w="1019"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2"/>
              </w:rPr>
            </w:pPr>
            <w:r w:rsidRPr="00D1550C">
              <w:rPr>
                <w:rFonts w:cs="Calibri"/>
                <w:color w:val="000000"/>
                <w:sz w:val="22"/>
              </w:rPr>
              <w:t>1 418,0</w:t>
            </w:r>
          </w:p>
        </w:tc>
        <w:tc>
          <w:tcPr>
            <w:tcW w:w="1156"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2"/>
              </w:rPr>
            </w:pPr>
            <w:r w:rsidRPr="00D1550C">
              <w:rPr>
                <w:rFonts w:cs="Calibri"/>
                <w:color w:val="000000"/>
                <w:sz w:val="22"/>
              </w:rPr>
              <w:t>4 434,8</w:t>
            </w:r>
          </w:p>
        </w:tc>
        <w:tc>
          <w:tcPr>
            <w:tcW w:w="94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2"/>
              </w:rPr>
            </w:pPr>
            <w:r w:rsidRPr="00D1550C">
              <w:rPr>
                <w:rFonts w:cs="Calibri"/>
                <w:color w:val="000000"/>
                <w:sz w:val="22"/>
              </w:rPr>
              <w:t>1 320,5</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2"/>
              </w:rPr>
            </w:pPr>
            <w:r w:rsidRPr="00D1550C">
              <w:rPr>
                <w:rFonts w:cs="Calibri"/>
                <w:color w:val="000000"/>
                <w:sz w:val="22"/>
              </w:rPr>
              <w:t>3 114,4</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II</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20"/>
              <w:rPr>
                <w:rFonts w:cs="Calibri"/>
                <w:color w:val="000000"/>
                <w:sz w:val="22"/>
              </w:rPr>
            </w:pPr>
            <w:r w:rsidRPr="00D1550C">
              <w:rPr>
                <w:rFonts w:cs="Calibri"/>
                <w:color w:val="000000"/>
                <w:sz w:val="22"/>
              </w:rPr>
              <w:t>Plant products</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 </w:t>
            </w:r>
          </w:p>
        </w:tc>
        <w:tc>
          <w:tcPr>
            <w:tcW w:w="965"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 </w:t>
            </w:r>
          </w:p>
        </w:tc>
        <w:tc>
          <w:tcPr>
            <w:tcW w:w="1019"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 </w:t>
            </w:r>
          </w:p>
        </w:tc>
        <w:tc>
          <w:tcPr>
            <w:tcW w:w="1156"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2"/>
              </w:rPr>
            </w:pPr>
            <w:r w:rsidRPr="00D1550C">
              <w:rPr>
                <w:rFonts w:cs="Calibri"/>
                <w:color w:val="000000"/>
                <w:sz w:val="22"/>
              </w:rPr>
              <w:t> </w:t>
            </w:r>
          </w:p>
        </w:tc>
      </w:tr>
      <w:tr w:rsidR="00C950AC" w:rsidRPr="00D1550C" w:rsidTr="00C950AC">
        <w:trPr>
          <w:trHeight w:val="63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602</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sz w:val="20"/>
                <w:szCs w:val="20"/>
              </w:rPr>
            </w:pPr>
            <w:r w:rsidRPr="00D1550C">
              <w:rPr>
                <w:rFonts w:cs="Calibri"/>
                <w:i/>
                <w:iCs/>
                <w:sz w:val="20"/>
                <w:szCs w:val="20"/>
              </w:rPr>
              <w:t>Other live plants (including their roots), cuttings and layering; fungus mycelium:</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43,9</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63,9</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52,3</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9,8</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0,2</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2,8</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2,2</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0,5</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702</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Tomatoes fresh or chilled:</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69,7</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65,9</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11,9</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42,3</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2,5</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9,3</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50,1</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15,6</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34,5</w:t>
            </w:r>
          </w:p>
        </w:tc>
      </w:tr>
      <w:tr w:rsidR="00C950AC" w:rsidRPr="00D1550C" w:rsidTr="00C950AC">
        <w:trPr>
          <w:trHeight w:val="63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703</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Onions, shallots [charlotte], leeks, garlic and other bulbous vegetables, fresh or chilled:</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75,5</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38,0</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7,9</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24,5</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4,2</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25,1</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3,5</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21,6</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704</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sz w:val="20"/>
                <w:szCs w:val="20"/>
              </w:rPr>
            </w:pPr>
            <w:r w:rsidRPr="00D1550C">
              <w:rPr>
                <w:rFonts w:cs="Calibri"/>
                <w:i/>
                <w:iCs/>
                <w:sz w:val="20"/>
                <w:szCs w:val="20"/>
              </w:rPr>
              <w:t>Other vegetables, fresh or chilled:</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36,7</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20,8</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7,3</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0,3</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2,4</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16,7</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8,0</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8,7</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709</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Vegetables, leguminous dried, shelled, whether or not skinned or split</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39,4</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32,7</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14,7</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4,6</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6,5</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18,7</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2,1</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16,6</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713</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Grapes, fresh or dried</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183,8</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197,7</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29,5</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22,2</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32,7</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113,4</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71,2</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40,6</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30,6</w:t>
            </w:r>
          </w:p>
        </w:tc>
      </w:tr>
      <w:tr w:rsidR="00C950AC" w:rsidRPr="00D1550C" w:rsidTr="00C950AC">
        <w:trPr>
          <w:trHeight w:val="63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806</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Apricots, cherries and wild cherries, peaches (including nectarines), plum and sloes, fresh</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223,3</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188,8</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21,7</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10,6</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86,5</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70,0</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22,3</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14,4</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7,9</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809</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Other fruits, fresh:</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209,9</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189,2</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124,3</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64,3</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0,5</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103,2</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103,2</w:t>
            </w:r>
          </w:p>
        </w:tc>
      </w:tr>
      <w:tr w:rsidR="00C950AC" w:rsidRPr="00D1550C" w:rsidTr="00C950AC">
        <w:trPr>
          <w:trHeight w:val="63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813</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Dried fruits, except for fruits of commodity items 0801 - 0806; mixtures of nuts or dried fruits of this group:</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40,8</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50,6</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10,0</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6,4</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14,5</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19,8</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19,4</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13,3</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6,1</w:t>
            </w:r>
          </w:p>
        </w:tc>
      </w:tr>
      <w:tr w:rsidR="00C950AC" w:rsidRPr="00D1550C" w:rsidTr="00631DCF">
        <w:trPr>
          <w:trHeight w:val="811"/>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631DCF" w:rsidP="00C950AC">
            <w:pPr>
              <w:jc w:val="center"/>
              <w:rPr>
                <w:rFonts w:cs="Calibri"/>
                <w:i/>
                <w:iCs/>
                <w:color w:val="000000"/>
                <w:sz w:val="20"/>
                <w:szCs w:val="20"/>
              </w:rPr>
            </w:pPr>
            <w:r w:rsidRPr="00D1550C">
              <w:rPr>
                <w:rFonts w:cs="Calibri"/>
                <w:i/>
                <w:iCs/>
                <w:color w:val="000000"/>
                <w:sz w:val="20"/>
                <w:szCs w:val="20"/>
              </w:rPr>
              <w:t>0</w:t>
            </w:r>
            <w:r w:rsidR="00C950AC" w:rsidRPr="00D1550C">
              <w:rPr>
                <w:rFonts w:cs="Calibri"/>
                <w:i/>
                <w:iCs/>
                <w:color w:val="000000"/>
                <w:sz w:val="20"/>
                <w:szCs w:val="20"/>
              </w:rPr>
              <w:t>904</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Pepper genus Piper; fruits of the genus Capsicum or the genus Pimenta, dried, crushed or ground:</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78,6</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13,8</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1,9</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2,2</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3,3</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6,4</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8,7</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4,1</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4,6</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1001</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Wheat or meslin</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24,3</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19,1</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4,5</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1,5</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10,3</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19,0</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11,5</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7,6</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1101</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sz w:val="20"/>
                <w:szCs w:val="20"/>
              </w:rPr>
            </w:pPr>
            <w:r w:rsidRPr="00D1550C">
              <w:rPr>
                <w:rFonts w:cs="Calibri"/>
                <w:i/>
                <w:iCs/>
                <w:sz w:val="20"/>
                <w:szCs w:val="20"/>
              </w:rPr>
              <w:t>Wheat or rye flour</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100,4</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62,3</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15,8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13,4</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13,7</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19,5</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40,0</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18,5</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21,4</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lastRenderedPageBreak/>
              <w:t>V</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color w:val="000000"/>
                <w:sz w:val="20"/>
                <w:szCs w:val="20"/>
              </w:rPr>
            </w:pPr>
            <w:r w:rsidRPr="00D1550C">
              <w:rPr>
                <w:rFonts w:cs="Calibri"/>
                <w:color w:val="000000"/>
                <w:sz w:val="20"/>
                <w:szCs w:val="20"/>
              </w:rPr>
              <w:t>Mineral products</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65"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019"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56"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r>
      <w:tr w:rsidR="00C950AC" w:rsidRPr="00D1550C" w:rsidTr="00C950AC">
        <w:trPr>
          <w:trHeight w:val="126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2710</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sz w:val="20"/>
                <w:szCs w:val="20"/>
              </w:rPr>
            </w:pPr>
            <w:r w:rsidRPr="00D1550C">
              <w:rPr>
                <w:rFonts w:cs="Calibri"/>
                <w:i/>
                <w:iCs/>
                <w:sz w:val="20"/>
                <w:szCs w:val="20"/>
              </w:rPr>
              <w:t>Petroleum and petroleum products obtained from bituminous rocks other than crude; products, not elsewhere specified or included, containing 70 wt.% or more of oil or petroleum products obtained from bituminious rocks, and these petroleum products are</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52,1</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32,3</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8,6</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7,6</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9,0</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7,2</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42,8</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15,8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27,1</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2711</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Petroleum gases and other gaseous hydrocarbons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2 260,8</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487,6</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140,5</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98,9</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134,1</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114,1</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234,7</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50,2</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184,6</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2716</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 xml:space="preserve">Electricity </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96,5</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135,0</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38,7</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9,7</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47,1</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39,5</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26,3</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26,3</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0,0</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VI</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color w:val="000000"/>
                <w:sz w:val="20"/>
                <w:szCs w:val="20"/>
              </w:rPr>
            </w:pPr>
            <w:r w:rsidRPr="00D1550C">
              <w:rPr>
                <w:rFonts w:cs="Calibri"/>
                <w:color w:val="000000"/>
                <w:sz w:val="20"/>
                <w:szCs w:val="20"/>
              </w:rPr>
              <w:t>Products of chemical industry</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65"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019"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56"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r>
      <w:tr w:rsidR="00C950AC" w:rsidRPr="00D1550C" w:rsidTr="00C950AC">
        <w:trPr>
          <w:trHeight w:val="94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2844</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Radioactive chemical elements and radioactive isotopes (including fissile and fertile chemical elements and isotopes) and their compounds; mixtures and residues containing these products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238,8</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255,6</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59,6</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66,1</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70,0</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59,8</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78,3</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15,8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62,5</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3102</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Fertilizers; mineral or chemical, nitrogenous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93,8</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101,1</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27,1</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24,2</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28,0</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21,8</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77,0</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50,2</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26,9</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VII</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color w:val="000000"/>
                <w:sz w:val="20"/>
                <w:szCs w:val="20"/>
              </w:rPr>
            </w:pPr>
            <w:r w:rsidRPr="00D1550C">
              <w:rPr>
                <w:rFonts w:cs="Calibri"/>
                <w:color w:val="000000"/>
                <w:sz w:val="20"/>
                <w:szCs w:val="20"/>
              </w:rPr>
              <w:t>Plastic materials and products, rubbers</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65"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019"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56"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4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3901</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Polymers of ethylene, in primary forms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373,1</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265,1</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69,0</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58,9</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56,4</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80,7</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166,5</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85,5</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81,0</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VIII</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color w:val="000000"/>
                <w:sz w:val="20"/>
                <w:szCs w:val="20"/>
              </w:rPr>
            </w:pPr>
            <w:r w:rsidRPr="00D1550C">
              <w:rPr>
                <w:rFonts w:cs="Calibri"/>
                <w:color w:val="000000"/>
                <w:sz w:val="20"/>
                <w:szCs w:val="20"/>
              </w:rPr>
              <w:t>Raw material for leather, leather, fur raw materials and products</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65"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019"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56"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0,0</w:t>
            </w:r>
          </w:p>
        </w:tc>
        <w:tc>
          <w:tcPr>
            <w:tcW w:w="94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r>
      <w:tr w:rsidR="00C950AC" w:rsidRPr="00D1550C" w:rsidTr="00C950AC">
        <w:trPr>
          <w:trHeight w:val="94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4104</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Tanned leather or leather from cattle hides (including buffaloes) or animals of the horse family, without hair, twofold or non-bred, but without further processing:</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33,5</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27,9</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6,4</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5,8</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6,9</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8,7</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11,8</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5,4</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6,4</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XI</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color w:val="000000"/>
                <w:sz w:val="20"/>
                <w:szCs w:val="20"/>
              </w:rPr>
            </w:pPr>
            <w:r w:rsidRPr="00D1550C">
              <w:rPr>
                <w:rFonts w:cs="Calibri"/>
                <w:color w:val="000000"/>
                <w:sz w:val="20"/>
                <w:szCs w:val="20"/>
              </w:rPr>
              <w:t>Textile products</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65"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019"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56"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0,0</w:t>
            </w:r>
          </w:p>
        </w:tc>
        <w:tc>
          <w:tcPr>
            <w:tcW w:w="94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5201</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Cotton; not carded or combed</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303,7</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160,2</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64,4</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13,3</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51,0</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31,5</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114,3</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62,6</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51,7</w:t>
            </w:r>
          </w:p>
        </w:tc>
      </w:tr>
      <w:tr w:rsidR="00C950AC" w:rsidRPr="00D1550C" w:rsidTr="00C950AC">
        <w:trPr>
          <w:trHeight w:val="63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5205</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Cotton yarn (other than sewing thread), containing 85%  or more by weight of cotton, not put up for retail sale</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924,6</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935,4</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229,7</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175,4</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239,6</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290,6</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761,6</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348,5</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413,1</w:t>
            </w:r>
          </w:p>
        </w:tc>
      </w:tr>
      <w:tr w:rsidR="00C950AC" w:rsidRPr="00D1550C" w:rsidTr="00C950AC">
        <w:trPr>
          <w:trHeight w:val="63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5208</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Cotton fabrics containing 85 wt.% or more cotton fibers, with a surface density of not more than 200 g / m</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63,1</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87,5</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18,3</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23,0</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22,9</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23,3</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51,9</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26,1</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25,9</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6006</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Other knitted or crocheted fabrics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59,9</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104,0</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23,1</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16,9</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35,2</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28,7</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80,1</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39,9</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40,2</w:t>
            </w:r>
          </w:p>
        </w:tc>
      </w:tr>
      <w:tr w:rsidR="00C950AC" w:rsidRPr="00D1550C" w:rsidTr="00C950AC">
        <w:trPr>
          <w:trHeight w:val="94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lastRenderedPageBreak/>
              <w:t>6104</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Suits, sets, jackets, blazers, dresses, skirts, trousers, overalls with bibs and shoulder straps, breeches and shorts (except swimsuits), knitted, knitted or crocheted, for women or for girls: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40,1</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46,5</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12,9</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9,7</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11,9</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12,0</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35,0</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16,2</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18,9</w:t>
            </w:r>
          </w:p>
        </w:tc>
      </w:tr>
      <w:tr w:rsidR="00C950AC" w:rsidRPr="00D1550C" w:rsidTr="00C950AC">
        <w:trPr>
          <w:trHeight w:val="58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6109</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T-shirts, sweatshirts with sleeves and other jerseys knitted or crocheted:</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112,6</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165,2</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47,7</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42,2</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42,0</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33,3</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102,1</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47,8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54,3</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XIV</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color w:val="000000"/>
                <w:sz w:val="20"/>
                <w:szCs w:val="20"/>
              </w:rPr>
            </w:pPr>
            <w:r w:rsidRPr="00D1550C">
              <w:rPr>
                <w:rFonts w:cs="Calibri"/>
                <w:color w:val="000000"/>
                <w:sz w:val="20"/>
                <w:szCs w:val="20"/>
              </w:rPr>
              <w:t>Precious metals, precious and semiprecious stones</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65"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019"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56"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0,0</w:t>
            </w:r>
          </w:p>
        </w:tc>
        <w:tc>
          <w:tcPr>
            <w:tcW w:w="94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7108</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Gold</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4 918,3</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5 804,1</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1 005,9</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1 118,4</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3 679,8</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0,0</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1 386,5</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1 386,5</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XV</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color w:val="000000"/>
                <w:sz w:val="20"/>
                <w:szCs w:val="20"/>
              </w:rPr>
            </w:pPr>
            <w:r w:rsidRPr="00D1550C">
              <w:rPr>
                <w:rFonts w:cs="Calibri"/>
                <w:color w:val="000000"/>
                <w:sz w:val="20"/>
                <w:szCs w:val="20"/>
              </w:rPr>
              <w:t>Nonprecious metals and products of them</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65"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019"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56"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0,0</w:t>
            </w:r>
          </w:p>
        </w:tc>
        <w:tc>
          <w:tcPr>
            <w:tcW w:w="943"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r>
      <w:tr w:rsidR="00C950AC" w:rsidRPr="00D1550C" w:rsidTr="00C950AC">
        <w:trPr>
          <w:trHeight w:val="93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7214</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 xml:space="preserve">Iron or non-alloy steel; bars and rods, not further worked than forged, hot-rolled, hot drawn or hot-extruded, but including those twisted after rolling </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90,5</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85,7</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11,4</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6,8</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41,4</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26,1</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25,8</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23,0</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2,8</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7403</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Copper; refined and copper alloys, unwrought</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561,5</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616,5</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117,4</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146,9</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169,7</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182,4</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351,5</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149,0</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202,5</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7408</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Copper wire</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95,7</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83,0</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10,0</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15,1</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28,9</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29,0</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131,5</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51,8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79,7</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7411</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Copper pipes and tubes: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43,3</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46,5</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10,9</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13,1</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11,1</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11,4</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44,6</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25,8</w:t>
            </w:r>
          </w:p>
        </w:tc>
      </w:tr>
      <w:tr w:rsidR="00C950AC" w:rsidRPr="00D1550C" w:rsidTr="00C950AC">
        <w:trPr>
          <w:trHeight w:val="31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7901</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Unprocessed zinc</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163,4</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162,7</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47,1</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33,0</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23,9</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58,8</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97,6</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38,0</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59,6</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XVI</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color w:val="000000"/>
                <w:sz w:val="20"/>
                <w:szCs w:val="20"/>
              </w:rPr>
            </w:pPr>
            <w:r w:rsidRPr="00D1550C">
              <w:rPr>
                <w:rFonts w:cs="Calibri"/>
                <w:color w:val="000000"/>
                <w:sz w:val="20"/>
                <w:szCs w:val="20"/>
              </w:rPr>
              <w:t>Machines, equipment, machinery, electrical equipment</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65"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019"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56"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0,0</w:t>
            </w:r>
          </w:p>
        </w:tc>
        <w:tc>
          <w:tcPr>
            <w:tcW w:w="94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r>
      <w:tr w:rsidR="00C950AC" w:rsidRPr="00D1550C" w:rsidTr="00C950AC">
        <w:trPr>
          <w:trHeight w:val="63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8504</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Electric transformers, static converters (e.g. rectifiers) and inductors, throttles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25,1</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19,4</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2,7</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4,3</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4,2</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8,2</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14,6</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9,8</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4,8</w:t>
            </w:r>
          </w:p>
        </w:tc>
      </w:tr>
      <w:tr w:rsidR="00C950AC" w:rsidRPr="00D1550C" w:rsidTr="00C950AC">
        <w:trPr>
          <w:trHeight w:val="126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8528</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Monitors and projectors that do not include television reception equipment; receiving equipment for television communications, with or without a broadcasting radio receiver or equipment recording or reproducing</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17,6</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18,9</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3,5</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2,5</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6,0</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6,9</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6,8</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3,2</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3,7</w:t>
            </w:r>
          </w:p>
        </w:tc>
      </w:tr>
      <w:tr w:rsidR="00C950AC" w:rsidRPr="00D1550C" w:rsidTr="00C950AC">
        <w:trPr>
          <w:trHeight w:val="94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8535</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Electrical apparatus for switching, protecting electrical circuits, for making connections to or in electrical circuits (for example, switches, breakers, fuses,  lightning rods, voltage suppressors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23,0</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18,7</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4,7</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6,3</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2,7</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5,0</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6,2</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3,9</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2,3</w:t>
            </w:r>
          </w:p>
        </w:tc>
      </w:tr>
      <w:tr w:rsidR="00C950AC" w:rsidRPr="00D1550C" w:rsidTr="00C950AC">
        <w:trPr>
          <w:trHeight w:val="1260"/>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lastRenderedPageBreak/>
              <w:t>8544</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color w:val="000000"/>
                <w:sz w:val="20"/>
                <w:szCs w:val="20"/>
              </w:rPr>
            </w:pPr>
            <w:r w:rsidRPr="00D1550C">
              <w:rPr>
                <w:rFonts w:cs="Calibri"/>
                <w:i/>
                <w:iCs/>
                <w:color w:val="000000"/>
                <w:sz w:val="20"/>
                <w:szCs w:val="20"/>
              </w:rPr>
              <w:t>Insulated wire (including enameled or anodized), cable (including coaxial cable) and other electric conductors, connector fitted or not; optical fibre cables of individually sheathed fibres, whether or not assembled with electric conductors or fitted with connectors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34,4</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32,4</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5,9</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7,9</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8,4</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10,2</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18,4</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10,4</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8,0</w:t>
            </w:r>
          </w:p>
        </w:tc>
      </w:tr>
      <w:tr w:rsidR="00C950AC" w:rsidRPr="00D1550C" w:rsidTr="00C950AC">
        <w:trPr>
          <w:trHeight w:val="345"/>
        </w:trPr>
        <w:tc>
          <w:tcPr>
            <w:tcW w:w="890" w:type="dxa"/>
            <w:tcBorders>
              <w:top w:val="nil"/>
              <w:left w:val="single" w:sz="4" w:space="0" w:color="5B9BD5"/>
              <w:bottom w:val="single" w:sz="4" w:space="0" w:color="5B9BD5"/>
              <w:right w:val="single" w:sz="4" w:space="0" w:color="5B9BD5"/>
            </w:tcBorders>
            <w:shd w:val="clear" w:color="000000" w:fill="BDD7EE"/>
            <w:noWrap/>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XVII</w:t>
            </w:r>
          </w:p>
        </w:tc>
        <w:tc>
          <w:tcPr>
            <w:tcW w:w="46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ind w:firstLineChars="100" w:firstLine="200"/>
              <w:rPr>
                <w:rFonts w:cs="Calibri"/>
                <w:sz w:val="20"/>
                <w:szCs w:val="20"/>
              </w:rPr>
            </w:pPr>
            <w:r w:rsidRPr="00D1550C">
              <w:rPr>
                <w:rFonts w:cs="Calibri"/>
                <w:sz w:val="20"/>
                <w:szCs w:val="20"/>
              </w:rPr>
              <w:t>Means of land, air and water transport</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34"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65"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019"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1156"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0,0</w:t>
            </w:r>
          </w:p>
        </w:tc>
        <w:tc>
          <w:tcPr>
            <w:tcW w:w="943"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vAlign w:val="center"/>
            <w:hideMark/>
          </w:tcPr>
          <w:p w:rsidR="00C950AC" w:rsidRPr="00D1550C" w:rsidRDefault="00C950AC" w:rsidP="00C950AC">
            <w:pPr>
              <w:jc w:val="center"/>
              <w:rPr>
                <w:rFonts w:cs="Calibri"/>
                <w:color w:val="000000"/>
                <w:sz w:val="20"/>
                <w:szCs w:val="20"/>
              </w:rPr>
            </w:pPr>
            <w:r w:rsidRPr="00D1550C">
              <w:rPr>
                <w:rFonts w:cs="Calibri"/>
                <w:color w:val="000000"/>
                <w:sz w:val="20"/>
                <w:szCs w:val="20"/>
              </w:rPr>
              <w:t> </w:t>
            </w:r>
          </w:p>
        </w:tc>
      </w:tr>
      <w:tr w:rsidR="00C950AC" w:rsidRPr="00D1550C" w:rsidTr="00C950AC">
        <w:trPr>
          <w:trHeight w:val="975"/>
        </w:trPr>
        <w:tc>
          <w:tcPr>
            <w:tcW w:w="890" w:type="dxa"/>
            <w:tcBorders>
              <w:top w:val="nil"/>
              <w:left w:val="single" w:sz="4" w:space="0" w:color="5B9BD5"/>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8703</w:t>
            </w:r>
          </w:p>
        </w:tc>
        <w:tc>
          <w:tcPr>
            <w:tcW w:w="4634" w:type="dxa"/>
            <w:tcBorders>
              <w:top w:val="nil"/>
              <w:left w:val="nil"/>
              <w:bottom w:val="single" w:sz="4" w:space="0" w:color="5B9BD5"/>
              <w:right w:val="single" w:sz="4" w:space="0" w:color="5B9BD5"/>
            </w:tcBorders>
            <w:shd w:val="clear" w:color="auto" w:fill="auto"/>
            <w:vAlign w:val="center"/>
            <w:hideMark/>
          </w:tcPr>
          <w:p w:rsidR="00C950AC" w:rsidRPr="00D1550C" w:rsidRDefault="00C950AC" w:rsidP="00C950AC">
            <w:pPr>
              <w:rPr>
                <w:rFonts w:cs="Calibri"/>
                <w:i/>
                <w:iCs/>
                <w:sz w:val="20"/>
                <w:szCs w:val="20"/>
              </w:rPr>
            </w:pPr>
            <w:r w:rsidRPr="00D1550C">
              <w:rPr>
                <w:rFonts w:cs="Calibri"/>
                <w:i/>
                <w:iCs/>
                <w:sz w:val="20"/>
                <w:szCs w:val="20"/>
              </w:rPr>
              <w:t>Automobiles and other motor vehicles mainly intended for the transport of people (other than motor vehicles of heading 8702), including cargo-passenger vans and racing cars:</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150,8</w:t>
            </w:r>
          </w:p>
        </w:tc>
        <w:tc>
          <w:tcPr>
            <w:tcW w:w="1134"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176,4</w:t>
            </w:r>
          </w:p>
        </w:tc>
        <w:tc>
          <w:tcPr>
            <w:tcW w:w="965"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38,3</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26,9</w:t>
            </w:r>
          </w:p>
        </w:tc>
        <w:tc>
          <w:tcPr>
            <w:tcW w:w="99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46,5</w:t>
            </w:r>
          </w:p>
        </w:tc>
        <w:tc>
          <w:tcPr>
            <w:tcW w:w="1019"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64,6</w:t>
            </w:r>
          </w:p>
        </w:tc>
        <w:tc>
          <w:tcPr>
            <w:tcW w:w="1156"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171,7</w:t>
            </w:r>
          </w:p>
        </w:tc>
        <w:tc>
          <w:tcPr>
            <w:tcW w:w="943"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88,7</w:t>
            </w:r>
          </w:p>
        </w:tc>
        <w:tc>
          <w:tcPr>
            <w:tcW w:w="992" w:type="dxa"/>
            <w:tcBorders>
              <w:top w:val="nil"/>
              <w:left w:val="nil"/>
              <w:bottom w:val="single" w:sz="4" w:space="0" w:color="5B9BD5"/>
              <w:right w:val="single" w:sz="4" w:space="0" w:color="5B9BD5"/>
            </w:tcBorders>
            <w:shd w:val="clear" w:color="auto" w:fill="auto"/>
            <w:noWrap/>
            <w:vAlign w:val="center"/>
            <w:hideMark/>
          </w:tcPr>
          <w:p w:rsidR="00C950AC" w:rsidRPr="00D1550C" w:rsidRDefault="00C950AC" w:rsidP="00C950AC">
            <w:pPr>
              <w:jc w:val="center"/>
              <w:rPr>
                <w:rFonts w:cs="Calibri"/>
                <w:i/>
                <w:iCs/>
                <w:color w:val="000000"/>
                <w:sz w:val="20"/>
                <w:szCs w:val="20"/>
              </w:rPr>
            </w:pPr>
            <w:r w:rsidRPr="00D1550C">
              <w:rPr>
                <w:rFonts w:cs="Calibri"/>
                <w:i/>
                <w:iCs/>
                <w:color w:val="000000"/>
                <w:sz w:val="20"/>
                <w:szCs w:val="20"/>
              </w:rPr>
              <w:t>83,0</w:t>
            </w:r>
          </w:p>
        </w:tc>
      </w:tr>
    </w:tbl>
    <w:p w:rsidR="002F3AD6" w:rsidRPr="00D1550C" w:rsidRDefault="002F3AD6" w:rsidP="00AE3756">
      <w:pPr>
        <w:rPr>
          <w:rFonts w:cs="Arial"/>
          <w:sz w:val="2"/>
          <w:szCs w:val="2"/>
        </w:rPr>
      </w:pPr>
    </w:p>
    <w:p w:rsidR="004048FF" w:rsidRPr="00D1550C" w:rsidRDefault="005C6E0F" w:rsidP="009A635E">
      <w:pPr>
        <w:spacing w:before="120"/>
        <w:jc w:val="center"/>
        <w:rPr>
          <w:rFonts w:cs="Arial"/>
          <w:i/>
        </w:rPr>
      </w:pPr>
      <w:r w:rsidRPr="00D1550C">
        <w:rPr>
          <w:rFonts w:cs="Arial"/>
          <w:i/>
        </w:rPr>
        <w:br w:type="page"/>
      </w:r>
    </w:p>
    <w:p w:rsidR="002F3AD6" w:rsidRPr="00D1550C" w:rsidRDefault="005D5DBF" w:rsidP="00C94F1A">
      <w:pPr>
        <w:spacing w:before="120"/>
        <w:ind w:right="-201"/>
        <w:jc w:val="right"/>
        <w:rPr>
          <w:i/>
          <w:sz w:val="22"/>
          <w:szCs w:val="22"/>
        </w:rPr>
      </w:pPr>
      <w:r w:rsidRPr="00D1550C">
        <w:rPr>
          <w:i/>
          <w:sz w:val="22"/>
          <w:szCs w:val="22"/>
        </w:rPr>
        <w:lastRenderedPageBreak/>
        <w:t>Addenda</w:t>
      </w:r>
      <w:r w:rsidR="002F3AD6" w:rsidRPr="00D1550C">
        <w:rPr>
          <w:i/>
          <w:sz w:val="22"/>
          <w:szCs w:val="22"/>
        </w:rPr>
        <w:t xml:space="preserve"> </w:t>
      </w:r>
      <w:r w:rsidR="00CB3A9B" w:rsidRPr="00D1550C">
        <w:rPr>
          <w:i/>
          <w:sz w:val="22"/>
          <w:szCs w:val="22"/>
        </w:rPr>
        <w:t>6</w:t>
      </w:r>
      <w:r w:rsidR="002F3AD6" w:rsidRPr="00D1550C">
        <w:rPr>
          <w:i/>
          <w:sz w:val="22"/>
          <w:szCs w:val="22"/>
        </w:rPr>
        <w:t>.</w:t>
      </w:r>
      <w:r w:rsidR="00637FAA" w:rsidRPr="00D1550C">
        <w:rPr>
          <w:i/>
          <w:sz w:val="22"/>
          <w:szCs w:val="22"/>
        </w:rPr>
        <w:t>2</w:t>
      </w:r>
    </w:p>
    <w:p w:rsidR="00637FAA" w:rsidRPr="00D1550C" w:rsidRDefault="00066516" w:rsidP="004048FF">
      <w:pPr>
        <w:pStyle w:val="1"/>
        <w:spacing w:after="240"/>
        <w:ind w:left="0"/>
        <w:jc w:val="center"/>
        <w:rPr>
          <w:rFonts w:ascii="Calibri" w:hAnsi="Calibri"/>
          <w:szCs w:val="24"/>
          <w:lang w:val="en-US"/>
        </w:rPr>
      </w:pPr>
      <w:bookmarkStart w:id="29" w:name="_Toc83291133"/>
      <w:r w:rsidRPr="00D1550C">
        <w:rPr>
          <w:rFonts w:ascii="Calibri" w:hAnsi="Calibri" w:cs="Calibri"/>
          <w:szCs w:val="24"/>
          <w:lang w:val="en-US"/>
        </w:rPr>
        <w:t xml:space="preserve">IMPORTED GOODS WITH HIGH COEFFICIENT OF PRODUCT CONCENTRATION </w:t>
      </w:r>
      <w:r w:rsidR="00492FEC" w:rsidRPr="00D1550C">
        <w:rPr>
          <w:rFonts w:ascii="Calibri" w:hAnsi="Calibri" w:cs="Calibri"/>
          <w:szCs w:val="24"/>
          <w:lang w:val="en-US"/>
        </w:rPr>
        <w:br/>
      </w:r>
      <w:r w:rsidR="00994E0A" w:rsidRPr="00D1550C">
        <w:rPr>
          <w:rFonts w:ascii="Calibri" w:hAnsi="Calibri" w:cs="Calibri"/>
          <w:szCs w:val="24"/>
          <w:lang w:val="en-US"/>
        </w:rPr>
        <w:t xml:space="preserve">FOR </w:t>
      </w:r>
      <w:r w:rsidR="00320FFF" w:rsidRPr="00D1550C">
        <w:rPr>
          <w:rFonts w:ascii="Calibri" w:hAnsi="Calibri" w:cs="Calibri"/>
          <w:szCs w:val="24"/>
          <w:lang w:val="en-US"/>
        </w:rPr>
        <w:t>201</w:t>
      </w:r>
      <w:r w:rsidR="00470BCD" w:rsidRPr="00D1550C">
        <w:rPr>
          <w:rFonts w:ascii="Calibri" w:hAnsi="Calibri" w:cs="Calibri"/>
          <w:szCs w:val="24"/>
          <w:lang w:val="en-US"/>
        </w:rPr>
        <w:t>9</w:t>
      </w:r>
      <w:r w:rsidR="00B33C6E" w:rsidRPr="00D1550C">
        <w:rPr>
          <w:rFonts w:ascii="Calibri" w:hAnsi="Calibri" w:cs="Calibri"/>
          <w:szCs w:val="24"/>
          <w:lang w:val="en-US"/>
        </w:rPr>
        <w:t xml:space="preserve"> </w:t>
      </w:r>
      <w:r w:rsidR="00470BCD" w:rsidRPr="00D1550C">
        <w:rPr>
          <w:rFonts w:ascii="Calibri" w:hAnsi="Calibri" w:cs="Calibri"/>
          <w:szCs w:val="24"/>
          <w:lang w:val="en-US"/>
        </w:rPr>
        <w:t>–</w:t>
      </w:r>
      <w:r w:rsidR="00B33C6E" w:rsidRPr="00D1550C">
        <w:rPr>
          <w:rFonts w:ascii="Calibri" w:hAnsi="Calibri" w:cs="Calibri"/>
          <w:szCs w:val="24"/>
          <w:lang w:val="en-US"/>
        </w:rPr>
        <w:t xml:space="preserve"> </w:t>
      </w:r>
      <w:r w:rsidR="00492FEC" w:rsidRPr="00D1550C">
        <w:rPr>
          <w:rFonts w:ascii="Calibri" w:hAnsi="Calibri" w:cs="Calibri"/>
          <w:szCs w:val="24"/>
          <w:lang w:val="en-US"/>
        </w:rPr>
        <w:t>2020</w:t>
      </w:r>
      <w:r w:rsidR="00470BCD" w:rsidRPr="00D1550C">
        <w:rPr>
          <w:rFonts w:ascii="Calibri" w:hAnsi="Calibri" w:cs="Calibri"/>
          <w:szCs w:val="24"/>
          <w:lang w:val="en-US"/>
        </w:rPr>
        <w:t xml:space="preserve"> AND </w:t>
      </w:r>
      <w:r w:rsidR="006A6DAA" w:rsidRPr="00D1550C">
        <w:rPr>
          <w:rFonts w:ascii="Calibri" w:hAnsi="Calibri" w:cs="Calibri"/>
          <w:szCs w:val="24"/>
          <w:lang w:val="en-US"/>
        </w:rPr>
        <w:t xml:space="preserve">FOR THE </w:t>
      </w:r>
      <w:r w:rsidR="00B457BE" w:rsidRPr="00D1550C">
        <w:rPr>
          <w:rFonts w:ascii="Calibri" w:hAnsi="Calibri" w:cs="Calibri"/>
          <w:szCs w:val="24"/>
          <w:lang w:val="en-US"/>
        </w:rPr>
        <w:t>FIRST</w:t>
      </w:r>
      <w:r w:rsidR="00470BCD" w:rsidRPr="00D1550C">
        <w:rPr>
          <w:rFonts w:ascii="Calibri" w:hAnsi="Calibri" w:cs="Calibri"/>
          <w:szCs w:val="24"/>
          <w:lang w:val="en-US"/>
        </w:rPr>
        <w:t xml:space="preserve"> </w:t>
      </w:r>
      <w:r w:rsidR="00462847" w:rsidRPr="00D1550C">
        <w:rPr>
          <w:rFonts w:ascii="Calibri" w:hAnsi="Calibri" w:cs="Calibri"/>
          <w:szCs w:val="24"/>
          <w:lang w:val="en-US"/>
        </w:rPr>
        <w:t>HALF</w:t>
      </w:r>
      <w:r w:rsidR="00470BCD" w:rsidRPr="00D1550C">
        <w:rPr>
          <w:rFonts w:ascii="Calibri" w:hAnsi="Calibri" w:cs="Calibri"/>
          <w:szCs w:val="24"/>
          <w:lang w:val="en-US"/>
        </w:rPr>
        <w:t xml:space="preserve"> OF 2021.</w:t>
      </w:r>
      <w:bookmarkEnd w:id="29"/>
    </w:p>
    <w:p w:rsidR="00637FAA" w:rsidRPr="00D1550C" w:rsidRDefault="00585EBB" w:rsidP="00C94F1A">
      <w:pPr>
        <w:ind w:right="-201"/>
        <w:jc w:val="right"/>
        <w:rPr>
          <w:i/>
          <w:sz w:val="20"/>
          <w:szCs w:val="20"/>
        </w:rPr>
      </w:pPr>
      <w:r w:rsidRPr="00D1550C">
        <w:rPr>
          <w:i/>
          <w:sz w:val="20"/>
          <w:szCs w:val="20"/>
        </w:rPr>
        <w:t>(</w:t>
      </w:r>
      <w:r w:rsidR="00066516" w:rsidRPr="00D1550C">
        <w:rPr>
          <w:i/>
          <w:sz w:val="20"/>
          <w:szCs w:val="20"/>
        </w:rPr>
        <w:t>mln</w:t>
      </w:r>
      <w:r w:rsidR="00637FAA" w:rsidRPr="00D1550C">
        <w:rPr>
          <w:i/>
          <w:sz w:val="20"/>
          <w:szCs w:val="20"/>
        </w:rPr>
        <w:t>.</w:t>
      </w:r>
      <w:r w:rsidR="00066516" w:rsidRPr="00D1550C">
        <w:rPr>
          <w:i/>
          <w:sz w:val="20"/>
          <w:szCs w:val="20"/>
        </w:rPr>
        <w:t xml:space="preserve"> USD</w:t>
      </w:r>
      <w:r w:rsidRPr="00D1550C">
        <w:rPr>
          <w:i/>
          <w:sz w:val="20"/>
          <w:szCs w:val="20"/>
        </w:rPr>
        <w:t>)</w:t>
      </w:r>
    </w:p>
    <w:tbl>
      <w:tblPr>
        <w:tblW w:w="14879" w:type="dxa"/>
        <w:tblLook w:val="04A0" w:firstRow="1" w:lastRow="0" w:firstColumn="1" w:lastColumn="0" w:noHBand="0" w:noVBand="1"/>
      </w:tblPr>
      <w:tblGrid>
        <w:gridCol w:w="1120"/>
        <w:gridCol w:w="3411"/>
        <w:gridCol w:w="1134"/>
        <w:gridCol w:w="1134"/>
        <w:gridCol w:w="1134"/>
        <w:gridCol w:w="1134"/>
        <w:gridCol w:w="1275"/>
        <w:gridCol w:w="1134"/>
        <w:gridCol w:w="1134"/>
        <w:gridCol w:w="1135"/>
        <w:gridCol w:w="1134"/>
      </w:tblGrid>
      <w:tr w:rsidR="00462847" w:rsidRPr="00D1550C" w:rsidTr="00462847">
        <w:trPr>
          <w:trHeight w:val="315"/>
          <w:tblHeader/>
        </w:trPr>
        <w:tc>
          <w:tcPr>
            <w:tcW w:w="112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Section</w:t>
            </w:r>
          </w:p>
        </w:tc>
        <w:tc>
          <w:tcPr>
            <w:tcW w:w="3411"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Name of product groups</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For 2019</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For 2020</w:t>
            </w:r>
          </w:p>
        </w:tc>
        <w:tc>
          <w:tcPr>
            <w:tcW w:w="4677" w:type="dxa"/>
            <w:gridSpan w:val="4"/>
            <w:tcBorders>
              <w:top w:val="single" w:sz="4" w:space="0" w:color="5B9BD5"/>
              <w:left w:val="nil"/>
              <w:bottom w:val="single" w:sz="4" w:space="0" w:color="5B9BD5"/>
              <w:right w:val="single" w:sz="4" w:space="0" w:color="5B9BD5"/>
            </w:tcBorders>
            <w:shd w:val="clear" w:color="auto" w:fill="auto"/>
            <w:noWrap/>
            <w:vAlign w:val="bottom"/>
            <w:hideMark/>
          </w:tcPr>
          <w:p w:rsidR="00462847" w:rsidRPr="00D1550C" w:rsidRDefault="00462847" w:rsidP="00462847">
            <w:pPr>
              <w:jc w:val="center"/>
              <w:rPr>
                <w:rFonts w:cs="Calibri"/>
                <w:b/>
                <w:bCs/>
                <w:color w:val="000000"/>
                <w:sz w:val="20"/>
              </w:rPr>
            </w:pPr>
            <w:r w:rsidRPr="00D1550C">
              <w:rPr>
                <w:rFonts w:cs="Calibri"/>
                <w:b/>
                <w:bCs/>
                <w:color w:val="000000"/>
                <w:sz w:val="20"/>
              </w:rPr>
              <w:t>2020</w:t>
            </w:r>
          </w:p>
        </w:tc>
        <w:tc>
          <w:tcPr>
            <w:tcW w:w="1134" w:type="dxa"/>
            <w:vMerge w:val="restart"/>
            <w:tcBorders>
              <w:top w:val="single" w:sz="4" w:space="0" w:color="5B9BD5"/>
              <w:left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For 2021</w:t>
            </w:r>
          </w:p>
        </w:tc>
        <w:tc>
          <w:tcPr>
            <w:tcW w:w="2269" w:type="dxa"/>
            <w:gridSpan w:val="2"/>
            <w:tcBorders>
              <w:top w:val="single" w:sz="4" w:space="0" w:color="5B9BD5"/>
              <w:left w:val="nil"/>
              <w:bottom w:val="single" w:sz="4" w:space="0" w:color="5B9BD5"/>
              <w:right w:val="single" w:sz="4" w:space="0" w:color="5B9BD5"/>
            </w:tcBorders>
            <w:shd w:val="clear" w:color="auto" w:fill="auto"/>
            <w:noWrap/>
            <w:vAlign w:val="bottom"/>
            <w:hideMark/>
          </w:tcPr>
          <w:p w:rsidR="00462847" w:rsidRPr="00D1550C" w:rsidRDefault="00462847" w:rsidP="00462847">
            <w:pPr>
              <w:jc w:val="center"/>
              <w:rPr>
                <w:rFonts w:cs="Calibri"/>
                <w:b/>
                <w:bCs/>
                <w:color w:val="000000"/>
                <w:sz w:val="20"/>
              </w:rPr>
            </w:pPr>
            <w:r w:rsidRPr="00D1550C">
              <w:rPr>
                <w:rFonts w:cs="Calibri"/>
                <w:b/>
                <w:bCs/>
                <w:color w:val="000000"/>
                <w:sz w:val="20"/>
              </w:rPr>
              <w:t>2021</w:t>
            </w:r>
          </w:p>
        </w:tc>
      </w:tr>
      <w:tr w:rsidR="00462847" w:rsidRPr="00D1550C" w:rsidTr="00462847">
        <w:trPr>
          <w:trHeight w:val="630"/>
          <w:tblHeader/>
        </w:trPr>
        <w:tc>
          <w:tcPr>
            <w:tcW w:w="1120" w:type="dxa"/>
            <w:vMerge/>
            <w:tcBorders>
              <w:top w:val="single" w:sz="4" w:space="0" w:color="5B9BD5"/>
              <w:left w:val="single" w:sz="4" w:space="0" w:color="5B9BD5"/>
              <w:bottom w:val="single" w:sz="4" w:space="0" w:color="5B9BD5"/>
              <w:right w:val="single" w:sz="4" w:space="0" w:color="5B9BD5"/>
            </w:tcBorders>
            <w:vAlign w:val="center"/>
            <w:hideMark/>
          </w:tcPr>
          <w:p w:rsidR="00462847" w:rsidRPr="00D1550C" w:rsidRDefault="00462847" w:rsidP="00462847">
            <w:pPr>
              <w:rPr>
                <w:rFonts w:cs="Calibri"/>
                <w:b/>
                <w:bCs/>
                <w:color w:val="000000"/>
                <w:sz w:val="20"/>
              </w:rPr>
            </w:pPr>
          </w:p>
        </w:tc>
        <w:tc>
          <w:tcPr>
            <w:tcW w:w="3411" w:type="dxa"/>
            <w:vMerge/>
            <w:tcBorders>
              <w:top w:val="single" w:sz="4" w:space="0" w:color="5B9BD5"/>
              <w:left w:val="single" w:sz="4" w:space="0" w:color="5B9BD5"/>
              <w:bottom w:val="single" w:sz="4" w:space="0" w:color="5B9BD5"/>
              <w:right w:val="single" w:sz="4" w:space="0" w:color="5B9BD5"/>
            </w:tcBorders>
            <w:vAlign w:val="center"/>
            <w:hideMark/>
          </w:tcPr>
          <w:p w:rsidR="00462847" w:rsidRPr="00D1550C" w:rsidRDefault="00462847" w:rsidP="00462847">
            <w:pPr>
              <w:rPr>
                <w:rFonts w:cs="Calibri"/>
                <w:b/>
                <w:bCs/>
                <w:color w:val="000000"/>
                <w:sz w:val="20"/>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462847" w:rsidRPr="00D1550C" w:rsidRDefault="00462847" w:rsidP="00462847">
            <w:pPr>
              <w:rPr>
                <w:rFonts w:cs="Calibri"/>
                <w:b/>
                <w:bCs/>
                <w:color w:val="000000"/>
                <w:sz w:val="20"/>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462847" w:rsidRPr="00D1550C" w:rsidRDefault="00462847" w:rsidP="00462847">
            <w:pPr>
              <w:rPr>
                <w:rFonts w:cs="Calibri"/>
                <w:b/>
                <w:bCs/>
                <w:color w:val="000000"/>
                <w:sz w:val="20"/>
              </w:rPr>
            </w:pPr>
          </w:p>
        </w:tc>
        <w:tc>
          <w:tcPr>
            <w:tcW w:w="1134"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1Q</w:t>
            </w:r>
          </w:p>
        </w:tc>
        <w:tc>
          <w:tcPr>
            <w:tcW w:w="1134"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2Q</w:t>
            </w:r>
          </w:p>
        </w:tc>
        <w:tc>
          <w:tcPr>
            <w:tcW w:w="1275"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3Q</w:t>
            </w:r>
          </w:p>
        </w:tc>
        <w:tc>
          <w:tcPr>
            <w:tcW w:w="1134"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4Q</w:t>
            </w:r>
          </w:p>
        </w:tc>
        <w:tc>
          <w:tcPr>
            <w:tcW w:w="1134" w:type="dxa"/>
            <w:vMerge/>
            <w:tcBorders>
              <w:left w:val="single" w:sz="4" w:space="0" w:color="5B9BD5"/>
              <w:bottom w:val="single" w:sz="4" w:space="0" w:color="5B9BD5"/>
              <w:right w:val="single" w:sz="4" w:space="0" w:color="5B9BD5"/>
            </w:tcBorders>
            <w:vAlign w:val="center"/>
            <w:hideMark/>
          </w:tcPr>
          <w:p w:rsidR="00462847" w:rsidRPr="00D1550C" w:rsidRDefault="00462847" w:rsidP="00462847">
            <w:pPr>
              <w:rPr>
                <w:rFonts w:cs="Calibri"/>
                <w:b/>
                <w:bCs/>
                <w:color w:val="000000"/>
                <w:sz w:val="20"/>
              </w:rPr>
            </w:pPr>
          </w:p>
        </w:tc>
        <w:tc>
          <w:tcPr>
            <w:tcW w:w="1135"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1Q</w:t>
            </w:r>
          </w:p>
        </w:tc>
        <w:tc>
          <w:tcPr>
            <w:tcW w:w="1134"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2Q</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 </w:t>
            </w:r>
          </w:p>
        </w:tc>
        <w:tc>
          <w:tcPr>
            <w:tcW w:w="3411"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ind w:firstLineChars="100" w:firstLine="200"/>
              <w:rPr>
                <w:rFonts w:cs="Calibri"/>
                <w:b/>
                <w:bCs/>
                <w:color w:val="000000"/>
                <w:sz w:val="20"/>
              </w:rPr>
            </w:pPr>
            <w:r w:rsidRPr="00D1550C">
              <w:rPr>
                <w:rFonts w:cs="Calibri"/>
                <w:b/>
                <w:bCs/>
                <w:color w:val="000000"/>
                <w:sz w:val="20"/>
              </w:rPr>
              <w:t>Total import</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22 487,3</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20 520,6</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4 531,4</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4 645,5</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5 441,6</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5 902,1</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11 516,1</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5 127,4</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6 388,7</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 </w:t>
            </w:r>
          </w:p>
        </w:tc>
        <w:tc>
          <w:tcPr>
            <w:tcW w:w="3411"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Main nomenclature of products</w:t>
            </w:r>
          </w:p>
        </w:tc>
        <w:tc>
          <w:tcPr>
            <w:tcW w:w="1134"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11 744,6</w:t>
            </w:r>
          </w:p>
        </w:tc>
        <w:tc>
          <w:tcPr>
            <w:tcW w:w="1134"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12 229,4</w:t>
            </w:r>
          </w:p>
        </w:tc>
        <w:tc>
          <w:tcPr>
            <w:tcW w:w="1134"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2 773,5</w:t>
            </w:r>
          </w:p>
        </w:tc>
        <w:tc>
          <w:tcPr>
            <w:tcW w:w="1134"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2 834,7</w:t>
            </w:r>
          </w:p>
        </w:tc>
        <w:tc>
          <w:tcPr>
            <w:tcW w:w="1275"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3 351,1</w:t>
            </w:r>
          </w:p>
        </w:tc>
        <w:tc>
          <w:tcPr>
            <w:tcW w:w="1134"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3 270,2</w:t>
            </w:r>
          </w:p>
        </w:tc>
        <w:tc>
          <w:tcPr>
            <w:tcW w:w="1134"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6 260,6</w:t>
            </w:r>
          </w:p>
        </w:tc>
        <w:tc>
          <w:tcPr>
            <w:tcW w:w="1135"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2 969,4</w:t>
            </w:r>
          </w:p>
        </w:tc>
        <w:tc>
          <w:tcPr>
            <w:tcW w:w="1134"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jc w:val="center"/>
              <w:rPr>
                <w:rFonts w:cs="Calibri"/>
                <w:b/>
                <w:bCs/>
                <w:color w:val="000000"/>
                <w:sz w:val="20"/>
              </w:rPr>
            </w:pPr>
            <w:r w:rsidRPr="00D1550C">
              <w:rPr>
                <w:rFonts w:cs="Calibri"/>
                <w:b/>
                <w:bCs/>
                <w:color w:val="000000"/>
                <w:sz w:val="20"/>
              </w:rPr>
              <w:t>3 291,1</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II</w:t>
            </w:r>
          </w:p>
        </w:tc>
        <w:tc>
          <w:tcPr>
            <w:tcW w:w="3411"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Plant products</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1001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Wheat or meslin</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376,4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495,5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92,0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104,7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135,9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163,0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253,8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122,1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131,7</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1101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Wheat or meslin flour</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88,3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86,7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17,6</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29,5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42,8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24,3</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1206</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Oil seeds; sunflower seeds, whether or not broken</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80,3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4,0</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0,0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14,3</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III</w:t>
            </w:r>
          </w:p>
        </w:tc>
        <w:tc>
          <w:tcPr>
            <w:tcW w:w="3411"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Animal or vegetable fats and oils</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1512</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Sunflower oil, safflower or cottonseed and their fractions, unrefined or refined, but without changing their chemical composition:</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170,2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220,8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41,4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55,7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47,4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76,2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156,8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74,3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82,6</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1516</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Animal fats and oils and their fractions; partly or wholly hydrogenated, inter-esterified, re-esterified or elaidinised, whether or not refined, but not further prepared</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57,2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34,5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7,3</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0,0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15,6</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IV</w:t>
            </w:r>
          </w:p>
        </w:tc>
        <w:tc>
          <w:tcPr>
            <w:tcW w:w="3411"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Products of food processing industry, alcohol,  tobacco</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1701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Cane or beet sugar and chemically pure sucrose, in solid form</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282,7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230,3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48,6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61,9</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54,2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65,6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151,8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67,2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84,6</w:t>
            </w:r>
          </w:p>
        </w:tc>
      </w:tr>
      <w:tr w:rsidR="00462847" w:rsidRPr="00D1550C" w:rsidTr="006A6DAA">
        <w:trPr>
          <w:trHeight w:val="1184"/>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2304</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Oilcakes and other solid wastes obtained by extraction of soybean oil, unrefined or ground, not granulated or granulated.</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94,6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106,4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18,9</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33,5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59,1</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36,0</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lastRenderedPageBreak/>
              <w:t>V</w:t>
            </w:r>
          </w:p>
        </w:tc>
        <w:tc>
          <w:tcPr>
            <w:tcW w:w="3411"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Mineral products</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2523</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Portland cement, aluminous cement, slag cement, supersulphate cement and similar hydraulic cements, whether or not coloured or in the form of clinkers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159,6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129,5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21,2</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40,4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74,1</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36,7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37,3</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2603</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Copper ores and concentrates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226,6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115,2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0,0</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73,9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0,0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60,1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93,5</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2709</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Petroleum oils and oils obtained from bituminous minerals; crude</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99,8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202,3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50,4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45,5</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62,6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43,8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49,2</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31,2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18,0</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2710</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Petroleum oils and oils from bituminous minerals, not crude; products  not included in anywhere else or containing 70%  of weight or more of oil</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602,1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565,7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149,9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191,7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117,2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106,9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261,0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140,8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120,2</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VI</w:t>
            </w:r>
          </w:p>
        </w:tc>
        <w:tc>
          <w:tcPr>
            <w:tcW w:w="3411"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Products of chemical industry</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126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3002</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Blood, human or animal; for therapeutic, prophylactic or diagnostic uses; antisera, other blood fractions, modified immunological products, (from biotechnological processes or not); vaccines, toxins, micro-organism cultures (not yeasts), similar products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112,4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91,7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23,2</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65,9</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45,5</w:t>
            </w:r>
          </w:p>
        </w:tc>
      </w:tr>
      <w:tr w:rsidR="00462847" w:rsidRPr="00D1550C" w:rsidTr="00462847">
        <w:trPr>
          <w:trHeight w:val="126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3004</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 xml:space="preserve">Medicaments; (not goods of heading no. 3002, 3005 or 3006) consisting of mixed or unmixed products for therapeutic or prophylactic use, put up in measured doses (incl. those in the form of transdermal admin. systems) or packed for retail sale </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890,9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1 115,8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211,9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191,9</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321,5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390,5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604,4</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324,1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280,3</w:t>
            </w:r>
          </w:p>
        </w:tc>
      </w:tr>
      <w:tr w:rsidR="00462847" w:rsidRPr="00D1550C" w:rsidTr="00462847">
        <w:trPr>
          <w:trHeight w:val="126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lastRenderedPageBreak/>
              <w:t>3808</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Insecticides, rodenticides, fungicides, herbicides, anti-emergence and plant growth regulators, disinfectants and the like, packaged in forms or packaging for retail sale or presented in the form of finished preparations sludge</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78,8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39,2</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39,9</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24,3</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3815</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Reaction initiators, reaction accelerators and catalysts, not elsewhere specified:</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80,5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123,7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51,4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14,6</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VII</w:t>
            </w:r>
          </w:p>
        </w:tc>
        <w:tc>
          <w:tcPr>
            <w:tcW w:w="3411"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Plastic materials and products: rubber</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3902</w:t>
            </w:r>
          </w:p>
        </w:tc>
        <w:tc>
          <w:tcPr>
            <w:tcW w:w="3411"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Polymers of propylene or of other olefins, in primary forms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74,9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33,3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32,2</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20,1</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3904</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Polymers of vinyl chloride or of other halogenated olefins, in primary forms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91,0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65,6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15,3</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39,3</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24,5</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3907</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Polyacetals, other polyethers and epoxy resins in primary forms; polycarbonates, alkyd resins, polyallyl esters and other polyesters in primary forms: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136,0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115,3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35,7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30,8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68,5</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44,8</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3920</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Plastics; plates, sheets, film, foil and strip (not self-adhesive); non-cellular and not reinforced, laminated, supported or similarly combined with other materials, n.e.c. in chapter 39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60,3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67,5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16,0</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32,3</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18,0</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4011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New pneumatic tyres, of rubber</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200,0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201,6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33,1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54,7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62,1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51,7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104,7</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65,2</w:t>
            </w:r>
          </w:p>
        </w:tc>
      </w:tr>
      <w:tr w:rsidR="00462847" w:rsidRPr="00D1550C" w:rsidTr="00462847">
        <w:trPr>
          <w:trHeight w:val="577"/>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IX</w:t>
            </w:r>
          </w:p>
        </w:tc>
        <w:tc>
          <w:tcPr>
            <w:tcW w:w="3411"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Wood and articles of wood</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4407</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Wood sawn or chipped lengthwise, sliced or peeled, whether or not planed, sanded or endjointed, of a thickness exceeding 6 mm.</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320,9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318,9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71,6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56,2</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108,4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82,6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135,3</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56,7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78,6</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lastRenderedPageBreak/>
              <w:t>4410</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Uranium; natural uranium and its compounds, alloys, dispersions (including cermets), ceramic products and mixtures containing natural uranium or natural uranium compounds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93,2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76,7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0,0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38,0</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4411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Fibre board of wood or other ligneous materials, whether or not bonded with resins or other organic substances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128,4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94,7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21,3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14,6</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29,6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29,1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63,8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39,0</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XV</w:t>
            </w:r>
          </w:p>
        </w:tc>
        <w:tc>
          <w:tcPr>
            <w:tcW w:w="3411"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Base metals and products of them</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color w:val="000000"/>
                <w:sz w:val="20"/>
              </w:rPr>
            </w:pPr>
            <w:r w:rsidRPr="00D1550C">
              <w:rPr>
                <w:rFonts w:cs="Calibri"/>
                <w:color w:val="000000"/>
                <w:sz w:val="20"/>
              </w:rPr>
              <w:t>7203</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Ferrous products; obtained by direct reduction of iron ore, in lumps, pellets or similar forms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70,4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78,6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19,5</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0,0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21,4</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7207</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Iron or non-alloy steel semi-finished products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212,6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144,1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35,8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37,5</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30,6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40,2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119,8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81,9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37,9</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7208</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Flat-rolled products of iron or non-alloyed steel, 600 mm wide or more, hot rolled, non-lacquered, without electroplating or other coating</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249,2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223,6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65,6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38,8</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52,2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67,0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241,1</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105,0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136,1</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7209</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Flat-rolled products of iron or non-alloyed steel, 600 mm wide or more, cold-rolled (cold-compressed), non-lacquered, without electroplating or other coating:</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162,5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143,2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34,2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40,1</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35,5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33,4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93,0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47,0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46,0</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7210</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Flat-rolled products of iron or non-alloyed steel, 600 mm wide or more, clad, plated or coated</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390,3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376,5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92,5</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97,9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101,7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168,0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118,7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49,3</w:t>
            </w:r>
          </w:p>
        </w:tc>
      </w:tr>
      <w:tr w:rsidR="00462847" w:rsidRPr="00D1550C" w:rsidTr="00462847">
        <w:trPr>
          <w:trHeight w:val="12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7304</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Pipes, tubes and hollow profiles, seamless, of ferrous metals (except for cast iron)</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240,6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176,7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45,7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35,0</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66,0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30,0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85,2</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36,3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49,0</w:t>
            </w:r>
          </w:p>
        </w:tc>
      </w:tr>
      <w:tr w:rsidR="00462847" w:rsidRPr="00D1550C" w:rsidTr="00462847">
        <w:trPr>
          <w:trHeight w:val="12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lastRenderedPageBreak/>
              <w:t>7305</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Other pipes and tubes (for example, welded, riveted or connected in a similar way), with a circular cross-section, the outer diameter of which is more then 406.4 mm, from ferrous metals: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57,6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186,1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15,4</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65,2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21,5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63,0</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57,3</w:t>
            </w:r>
          </w:p>
        </w:tc>
      </w:tr>
      <w:tr w:rsidR="00462847" w:rsidRPr="00D1550C" w:rsidTr="00462847">
        <w:trPr>
          <w:trHeight w:val="157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7308</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Metal structures from ferrous metals (except for prefabricated building structures of heading 9406) and their parts (for example, bridges and their sections, gateways, towers, lattice masts, roof ceilings, building trusses, doors and windows and their frames, thresholds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194,8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85,3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21,8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58,8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34,9</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7601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Untreated aluminum:</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102,3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110,3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11,6</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31,2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38,8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54,3</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34,8</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XVI</w:t>
            </w:r>
          </w:p>
        </w:tc>
        <w:tc>
          <w:tcPr>
            <w:tcW w:w="3411" w:type="dxa"/>
            <w:tcBorders>
              <w:top w:val="nil"/>
              <w:left w:val="nil"/>
              <w:bottom w:val="single" w:sz="4" w:space="0" w:color="5B9BD5"/>
              <w:right w:val="single" w:sz="4" w:space="0" w:color="5B9BD5"/>
            </w:tcBorders>
            <w:shd w:val="clear" w:color="000000" w:fill="BDD7EE"/>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Machines, equipment, machinery; electrical equipment</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8409</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Parts intended exclusively or mainly for engines of heading 8407 or 8408: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124,6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112,0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32,8</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54,8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35,3</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8411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Turbojet and turboprop engines, other gas turbines: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67,4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75,9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37,8</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57,9</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38,7</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8413</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Liquid pumps with or without flow meters; fluid lifts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155,3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111,3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27,8</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31,8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68,4</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33,2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35,2</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8414</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 xml:space="preserve">Air or vacuum pumps, air or other gas compressors and fans, ventilating or recycling hoods, incorporating a fan, whether or not fitted with filters, </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275,8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258,4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58,5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71,6</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59,5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68,6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116,9</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44,4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72,5</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8417</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Industrial or laboratory furnaces and chambers, including non-electric incinerators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104,2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388,0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29,2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97,9</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253,3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23,7</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16,7</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8418</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Air or vacuum pumps, air or gas compressors and fans; ventilation or recirculation exhaust hoods or cabinets with a fan, with or without filters: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149,7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108,9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31,4</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30,4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67,5</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43,0</w:t>
            </w:r>
          </w:p>
        </w:tc>
      </w:tr>
      <w:tr w:rsidR="00462847" w:rsidRPr="00D1550C" w:rsidTr="00462847">
        <w:trPr>
          <w:trHeight w:val="126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lastRenderedPageBreak/>
              <w:t>8419</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Machines, equipment, industrial or laboratory, with electric or non-electric heating (excluding ovens, chambers and other equipment of heading 8514) for processing materials in a process with temperature changes, such as heating, cooking, temperature</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216,6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116,0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42,2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41,4</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21,3</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8421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Centrifuges, including centrifugal dryers; equipment and devices for filtering or purifying liquids or gases: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177,1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146,1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31,4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46,2</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31,8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36,6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63,1</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29,4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33,7</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8429</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Bulldozers with fixed and rotary blades, graders, planners, scrapers, mechanical shovels, excavators, single-bucket loaders, tamping machines and road rollers, self-propelled</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396,8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237,6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43,3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46,1</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73,6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74,6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112,3</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52,4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59,9</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8431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Parts intended exclusively or mainly for equipment of heading 8425 or 8430: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88,1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115,8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37,0</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40,6</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12,2</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8433</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Harvesting and threshing machinery, straw and fodder balers, grass or hay mowers; machines for cleaning, sorting or grading eggs, fruit or other agricultural produce, other than machinery of heading</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86,6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104,5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23,7</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67,7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9,2</w:t>
            </w:r>
          </w:p>
        </w:tc>
      </w:tr>
      <w:tr w:rsidR="00462847" w:rsidRPr="00D1550C" w:rsidTr="006A6DAA">
        <w:trPr>
          <w:trHeight w:val="1618"/>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8436</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Agricultural, horticultural, forestry, poultry or beekeeping equipment, including equipment for germinating seeds with mechanical or heating devices, others; poultry incubators and brooders: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71,4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73,5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49,3</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20,7</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9,4</w:t>
            </w:r>
          </w:p>
        </w:tc>
      </w:tr>
      <w:tr w:rsidR="00462847" w:rsidRPr="00D1550C" w:rsidTr="00462847">
        <w:trPr>
          <w:trHeight w:val="126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lastRenderedPageBreak/>
              <w:t>8445</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Machines for preparing textile fibers; spinning, quilting or twisting machines and other equipment for the manufacture of textile yarn; coco-netting or winding (including weft-netting) textile machines and machines preparing the text</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283,1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185,1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60,7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40,5</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33,5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50,4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74,4</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41,9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32,6</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8455</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Rolling mills and rolls for them</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88,0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62,5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9,1</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22,4</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13,5</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8471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Computers and their units; magnetic or optical readers, machines for transferring data to storage media in coded form and machines for processing such information, not elsewhere named:</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166,4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143,9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44,2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40,5</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80,9</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41,4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39,5</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8474</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Equipment for sorting, screening, separation, washing, grinding, mixing or mixing soil, stone, ores or other minerals in a solid (including powdered or pasty) state;</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575,8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437,2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101,5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89,3</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83,3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163,1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176,5</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73,9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102,6</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8477</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Machinery for the processing of rubber or plastics or for the manufacture of products from these materials, not specified or included elsewhere in this group</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190,5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185,1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38,5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38,2</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57,5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50,9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84,8</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51,6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33,2</w:t>
            </w:r>
          </w:p>
        </w:tc>
      </w:tr>
      <w:tr w:rsidR="00462847" w:rsidRPr="00D1550C" w:rsidTr="00462847">
        <w:trPr>
          <w:trHeight w:val="6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8479</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Machines and mechanical devices that have individual functions, in another place of this group are not named or not included</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272,0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235,4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54,6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43,6</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64,1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73,1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113,5</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57,3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56,1</w:t>
            </w:r>
          </w:p>
        </w:tc>
      </w:tr>
      <w:tr w:rsidR="00462847" w:rsidRPr="00D1550C" w:rsidTr="00462847">
        <w:trPr>
          <w:trHeight w:val="93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8481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Valves, taps, vents and similar fittings for pipelines, boilers, cisterns, reservoir, tanks or similar containers, including pressure reducing and temperature controlled valves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201,3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119,0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24,0</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30,0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36,5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67,9</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31,5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36,4</w:t>
            </w:r>
          </w:p>
        </w:tc>
      </w:tr>
      <w:tr w:rsidR="00462847" w:rsidRPr="00D1550C" w:rsidTr="00462847">
        <w:trPr>
          <w:trHeight w:val="156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lastRenderedPageBreak/>
              <w:t>8517</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Electrical telephone or telegraph devices for wire communication, including telephone sets with a cordless handset and devices for wire line communication systems on a carrier frequency or for digital wire communication systems; videophones: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270,0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376,2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115,9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76,2</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53,4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130,7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198,6</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93,2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105,4</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8537</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Boards, panels, consoles, tables, switchboards and bases for electrical equipment, other, equipped with two or more devices of heading 8535 or 8536, for controlling or distributing electric current</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166,5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70,1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13,4</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56,1</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29,2</w:t>
            </w:r>
          </w:p>
        </w:tc>
      </w:tr>
      <w:tr w:rsidR="00462847" w:rsidRPr="00D1550C" w:rsidTr="00462847">
        <w:trPr>
          <w:trHeight w:val="375"/>
        </w:trPr>
        <w:tc>
          <w:tcPr>
            <w:tcW w:w="1120" w:type="dxa"/>
            <w:tcBorders>
              <w:top w:val="nil"/>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XVII</w:t>
            </w:r>
          </w:p>
        </w:tc>
        <w:tc>
          <w:tcPr>
            <w:tcW w:w="3411"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color w:val="000000"/>
                <w:sz w:val="20"/>
              </w:rPr>
            </w:pPr>
            <w:r w:rsidRPr="00D1550C">
              <w:rPr>
                <w:rFonts w:cs="Calibri"/>
                <w:color w:val="000000"/>
                <w:sz w:val="20"/>
              </w:rPr>
              <w:t>Means of land, air and water transport</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8701</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Tractors (except for tractors of heading 8709)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243,1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96,9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29,0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20,9</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30,4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16,5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72,1</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49,0</w:t>
            </w:r>
          </w:p>
        </w:tc>
      </w:tr>
      <w:tr w:rsidR="00462847" w:rsidRPr="00D1550C" w:rsidTr="00462847">
        <w:trPr>
          <w:trHeight w:val="94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8703</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Automobiles and other motor vehicles mainly intended for the transport of people (other than motor vehicles of heading 8702), including cargo-passenger vans and racing cars: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553,1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498,0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124,4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119,2</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128,8</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125,6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226,7</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76,3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150,4</w:t>
            </w:r>
          </w:p>
        </w:tc>
      </w:tr>
      <w:tr w:rsidR="00462847" w:rsidRPr="00D1550C" w:rsidTr="00462847">
        <w:trPr>
          <w:trHeight w:val="420"/>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8704</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Motor vehicles for the transport of goods</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228,9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201,5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27,5</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86,1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75,1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103,9</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85,3</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18,6</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8708</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color w:val="000000"/>
                <w:sz w:val="20"/>
              </w:rPr>
            </w:pPr>
            <w:r w:rsidRPr="00D1550C">
              <w:rPr>
                <w:rFonts w:cs="Calibri"/>
                <w:i/>
                <w:iCs/>
                <w:color w:val="000000"/>
                <w:sz w:val="20"/>
              </w:rPr>
              <w:t>Parts and accessories of motor vehicles of heading 8701 - 8705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943,2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977,6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243,1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279,0</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267,1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188,5</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526,5</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253,9</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272,7</w:t>
            </w:r>
          </w:p>
        </w:tc>
      </w:tr>
      <w:tr w:rsidR="00462847" w:rsidRPr="00D1550C" w:rsidTr="00462847">
        <w:trPr>
          <w:trHeight w:val="315"/>
        </w:trPr>
        <w:tc>
          <w:tcPr>
            <w:tcW w:w="1120"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XVIII</w:t>
            </w:r>
          </w:p>
        </w:tc>
        <w:tc>
          <w:tcPr>
            <w:tcW w:w="3411"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sz w:val="20"/>
              </w:rPr>
            </w:pPr>
            <w:r w:rsidRPr="00D1550C">
              <w:rPr>
                <w:rFonts w:cs="Calibri"/>
                <w:sz w:val="20"/>
              </w:rPr>
              <w:t>Optical, photographic instruments and apparatus</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nil"/>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1470"/>
        </w:trPr>
        <w:tc>
          <w:tcPr>
            <w:tcW w:w="1120" w:type="dxa"/>
            <w:tcBorders>
              <w:top w:val="nil"/>
              <w:left w:val="single" w:sz="4" w:space="0" w:color="5B9BD5"/>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9018</w:t>
            </w:r>
          </w:p>
        </w:tc>
        <w:tc>
          <w:tcPr>
            <w:tcW w:w="3411" w:type="dxa"/>
            <w:tcBorders>
              <w:top w:val="nil"/>
              <w:left w:val="nil"/>
              <w:bottom w:val="nil"/>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Instruments and appliances used in medical, surgical, dental or veterinary sciences, including scintigraphic apparatus, other electro-medical apparatus and sight testing instruments</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120,0</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148,9</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35,8</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28,9</w:t>
            </w:r>
          </w:p>
        </w:tc>
        <w:tc>
          <w:tcPr>
            <w:tcW w:w="1275"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32,6</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51,6</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50,8</w:t>
            </w:r>
          </w:p>
        </w:tc>
        <w:tc>
          <w:tcPr>
            <w:tcW w:w="1135"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25,8</w:t>
            </w:r>
          </w:p>
        </w:tc>
      </w:tr>
      <w:tr w:rsidR="00462847" w:rsidRPr="00D1550C" w:rsidTr="00462847">
        <w:trPr>
          <w:trHeight w:val="945"/>
        </w:trPr>
        <w:tc>
          <w:tcPr>
            <w:tcW w:w="1120" w:type="dxa"/>
            <w:tcBorders>
              <w:top w:val="nil"/>
              <w:left w:val="single" w:sz="4" w:space="0" w:color="5B9BD5"/>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lastRenderedPageBreak/>
              <w:t>9019</w:t>
            </w:r>
          </w:p>
        </w:tc>
        <w:tc>
          <w:tcPr>
            <w:tcW w:w="3411" w:type="dxa"/>
            <w:tcBorders>
              <w:top w:val="nil"/>
              <w:left w:val="nil"/>
              <w:bottom w:val="nil"/>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Mechano-therapy, massage appliances; psychological aptitude testing apparatus; ozone, oxygen, aerosol therapy, artificial respiration or other therapeutic respiration apparatus</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13,7</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67,3</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2,6</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12,6</w:t>
            </w:r>
          </w:p>
        </w:tc>
        <w:tc>
          <w:tcPr>
            <w:tcW w:w="1275"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27,0</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25,0</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24,8</w:t>
            </w:r>
          </w:p>
        </w:tc>
        <w:tc>
          <w:tcPr>
            <w:tcW w:w="1135"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9,7</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15,1</w:t>
            </w:r>
          </w:p>
        </w:tc>
      </w:tr>
      <w:tr w:rsidR="00462847" w:rsidRPr="00D1550C" w:rsidTr="00462847">
        <w:trPr>
          <w:trHeight w:val="630"/>
        </w:trPr>
        <w:tc>
          <w:tcPr>
            <w:tcW w:w="1120" w:type="dxa"/>
            <w:tcBorders>
              <w:top w:val="nil"/>
              <w:left w:val="single" w:sz="4" w:space="0" w:color="5B9BD5"/>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9028</w:t>
            </w:r>
          </w:p>
        </w:tc>
        <w:tc>
          <w:tcPr>
            <w:tcW w:w="3411" w:type="dxa"/>
            <w:tcBorders>
              <w:top w:val="nil"/>
              <w:left w:val="nil"/>
              <w:bottom w:val="nil"/>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Gas, liquid or electricity supply or production meters, including calibrating meters therefor</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132,4</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124,1</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23,4</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18,5</w:t>
            </w:r>
          </w:p>
        </w:tc>
        <w:tc>
          <w:tcPr>
            <w:tcW w:w="1275"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30,2</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52,1</w:t>
            </w:r>
          </w:p>
        </w:tc>
        <w:tc>
          <w:tcPr>
            <w:tcW w:w="1134"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95,5</w:t>
            </w:r>
          </w:p>
        </w:tc>
        <w:tc>
          <w:tcPr>
            <w:tcW w:w="1135" w:type="dxa"/>
            <w:tcBorders>
              <w:top w:val="nil"/>
              <w:left w:val="nil"/>
              <w:bottom w:val="nil"/>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49,1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46,4</w:t>
            </w:r>
          </w:p>
        </w:tc>
      </w:tr>
      <w:tr w:rsidR="00462847" w:rsidRPr="00D1550C" w:rsidTr="00462847">
        <w:trPr>
          <w:trHeight w:val="375"/>
        </w:trPr>
        <w:tc>
          <w:tcPr>
            <w:tcW w:w="1120"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sz w:val="20"/>
              </w:rPr>
            </w:pPr>
            <w:r w:rsidRPr="00D1550C">
              <w:rPr>
                <w:rFonts w:cs="Calibri"/>
                <w:sz w:val="20"/>
              </w:rPr>
              <w:t>XX</w:t>
            </w:r>
          </w:p>
        </w:tc>
        <w:tc>
          <w:tcPr>
            <w:tcW w:w="3411"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ind w:firstLineChars="100" w:firstLine="200"/>
              <w:rPr>
                <w:rFonts w:cs="Calibri"/>
                <w:sz w:val="20"/>
              </w:rPr>
            </w:pPr>
            <w:r w:rsidRPr="00D1550C">
              <w:rPr>
                <w:rFonts w:cs="Calibri"/>
                <w:sz w:val="20"/>
              </w:rPr>
              <w:t>Miscellaneous manufactured goods</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275"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5"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462847" w:rsidRPr="00D1550C" w:rsidRDefault="00462847" w:rsidP="00462847">
            <w:pPr>
              <w:jc w:val="center"/>
              <w:rPr>
                <w:rFonts w:cs="Calibri"/>
                <w:color w:val="000000"/>
                <w:sz w:val="20"/>
              </w:rPr>
            </w:pPr>
            <w:r w:rsidRPr="00D1550C">
              <w:rPr>
                <w:rFonts w:cs="Calibri"/>
                <w:color w:val="000000"/>
                <w:sz w:val="20"/>
              </w:rPr>
              <w:t> </w:t>
            </w:r>
          </w:p>
        </w:tc>
      </w:tr>
      <w:tr w:rsidR="00462847" w:rsidRPr="00D1550C" w:rsidTr="00462847">
        <w:trPr>
          <w:trHeight w:val="315"/>
        </w:trPr>
        <w:tc>
          <w:tcPr>
            <w:tcW w:w="1120" w:type="dxa"/>
            <w:tcBorders>
              <w:top w:val="nil"/>
              <w:left w:val="single" w:sz="4" w:space="0" w:color="5B9BD5"/>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sz w:val="20"/>
              </w:rPr>
            </w:pPr>
            <w:r w:rsidRPr="00D1550C">
              <w:rPr>
                <w:rFonts w:cs="Calibri"/>
                <w:i/>
                <w:iCs/>
                <w:sz w:val="20"/>
              </w:rPr>
              <w:t>9406</w:t>
            </w:r>
          </w:p>
        </w:tc>
        <w:tc>
          <w:tcPr>
            <w:tcW w:w="3411" w:type="dxa"/>
            <w:tcBorders>
              <w:top w:val="nil"/>
              <w:left w:val="nil"/>
              <w:bottom w:val="single" w:sz="4" w:space="0" w:color="5B9BD5"/>
              <w:right w:val="single" w:sz="4" w:space="0" w:color="5B9BD5"/>
            </w:tcBorders>
            <w:shd w:val="clear" w:color="auto" w:fill="auto"/>
            <w:vAlign w:val="center"/>
            <w:hideMark/>
          </w:tcPr>
          <w:p w:rsidR="00462847" w:rsidRPr="00D1550C" w:rsidRDefault="00462847" w:rsidP="00462847">
            <w:pPr>
              <w:ind w:firstLineChars="200" w:firstLine="400"/>
              <w:rPr>
                <w:rFonts w:cs="Calibri"/>
                <w:i/>
                <w:iCs/>
                <w:sz w:val="20"/>
              </w:rPr>
            </w:pPr>
            <w:r w:rsidRPr="00D1550C">
              <w:rPr>
                <w:rFonts w:cs="Calibri"/>
                <w:i/>
                <w:iCs/>
                <w:sz w:val="20"/>
              </w:rPr>
              <w:t>Building constructions, prefabricated:</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431,2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279,2</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52,6</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63,4</w:t>
            </w:r>
          </w:p>
        </w:tc>
        <w:tc>
          <w:tcPr>
            <w:tcW w:w="127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84,1</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79,0</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112,6</w:t>
            </w:r>
          </w:p>
        </w:tc>
        <w:tc>
          <w:tcPr>
            <w:tcW w:w="1135"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52,4</w:t>
            </w:r>
          </w:p>
        </w:tc>
        <w:tc>
          <w:tcPr>
            <w:tcW w:w="1134" w:type="dxa"/>
            <w:tcBorders>
              <w:top w:val="nil"/>
              <w:left w:val="nil"/>
              <w:bottom w:val="single" w:sz="4" w:space="0" w:color="5B9BD5"/>
              <w:right w:val="single" w:sz="4" w:space="0" w:color="5B9BD5"/>
            </w:tcBorders>
            <w:shd w:val="clear" w:color="auto" w:fill="auto"/>
            <w:noWrap/>
            <w:vAlign w:val="center"/>
            <w:hideMark/>
          </w:tcPr>
          <w:p w:rsidR="00462847" w:rsidRPr="00D1550C" w:rsidRDefault="00462847" w:rsidP="00462847">
            <w:pPr>
              <w:jc w:val="center"/>
              <w:rPr>
                <w:rFonts w:cs="Calibri"/>
                <w:i/>
                <w:iCs/>
                <w:color w:val="000000"/>
                <w:sz w:val="20"/>
              </w:rPr>
            </w:pPr>
            <w:r w:rsidRPr="00D1550C">
              <w:rPr>
                <w:rFonts w:cs="Calibri"/>
                <w:i/>
                <w:iCs/>
                <w:color w:val="000000"/>
                <w:sz w:val="20"/>
              </w:rPr>
              <w:t>60,2</w:t>
            </w:r>
          </w:p>
        </w:tc>
      </w:tr>
    </w:tbl>
    <w:p w:rsidR="002F3AD6" w:rsidRPr="00D1550C" w:rsidRDefault="002F3AD6" w:rsidP="008E63FA">
      <w:pPr>
        <w:rPr>
          <w:rFonts w:cs="Arial"/>
        </w:rPr>
        <w:sectPr w:rsidR="002F3AD6" w:rsidRPr="00D1550C" w:rsidSect="00111FEA">
          <w:pgSz w:w="16838" w:h="11906" w:orient="landscape"/>
          <w:pgMar w:top="1134" w:right="1021" w:bottom="709" w:left="1134" w:header="709" w:footer="709" w:gutter="0"/>
          <w:cols w:space="708"/>
          <w:docGrid w:linePitch="360"/>
        </w:sectPr>
      </w:pPr>
    </w:p>
    <w:p w:rsidR="00951B5C" w:rsidRPr="00D1550C" w:rsidRDefault="005D5DBF" w:rsidP="00F159FA">
      <w:pPr>
        <w:ind w:right="-314"/>
        <w:jc w:val="right"/>
        <w:rPr>
          <w:i/>
          <w:sz w:val="22"/>
          <w:szCs w:val="22"/>
        </w:rPr>
      </w:pPr>
      <w:r w:rsidRPr="00D1550C">
        <w:rPr>
          <w:i/>
          <w:sz w:val="22"/>
          <w:szCs w:val="22"/>
        </w:rPr>
        <w:lastRenderedPageBreak/>
        <w:t>Addenda</w:t>
      </w:r>
      <w:r w:rsidR="00951B5C" w:rsidRPr="00D1550C">
        <w:rPr>
          <w:i/>
          <w:sz w:val="22"/>
          <w:szCs w:val="22"/>
        </w:rPr>
        <w:t xml:space="preserve"> </w:t>
      </w:r>
      <w:r w:rsidR="00F74013" w:rsidRPr="00D1550C">
        <w:rPr>
          <w:i/>
          <w:sz w:val="22"/>
          <w:szCs w:val="22"/>
        </w:rPr>
        <w:t>7</w:t>
      </w:r>
    </w:p>
    <w:p w:rsidR="008E63FA" w:rsidRPr="00D1550C" w:rsidRDefault="005D5DBF" w:rsidP="008E63FA">
      <w:pPr>
        <w:pStyle w:val="1"/>
        <w:ind w:left="0"/>
        <w:jc w:val="center"/>
        <w:rPr>
          <w:rFonts w:ascii="Calibri" w:hAnsi="Calibri"/>
          <w:sz w:val="24"/>
          <w:szCs w:val="24"/>
          <w:lang w:val="en-US"/>
        </w:rPr>
      </w:pPr>
      <w:bookmarkStart w:id="30" w:name="_Toc83291134"/>
      <w:r w:rsidRPr="00D1550C">
        <w:rPr>
          <w:rFonts w:ascii="Calibri" w:hAnsi="Calibri" w:cs="Calibri"/>
          <w:sz w:val="24"/>
          <w:szCs w:val="24"/>
          <w:lang w:val="en-US"/>
        </w:rPr>
        <w:t xml:space="preserve">REGIONAL STRUCTURE OF INTERNATIONAL MERCHANDISE TRADE </w:t>
      </w:r>
      <w:r w:rsidR="0073603C" w:rsidRPr="00D1550C">
        <w:rPr>
          <w:rFonts w:ascii="Calibri" w:hAnsi="Calibri" w:cs="Calibri"/>
          <w:sz w:val="24"/>
          <w:szCs w:val="24"/>
          <w:lang w:val="en-US"/>
        </w:rPr>
        <w:t xml:space="preserve">FOR </w:t>
      </w:r>
      <w:r w:rsidR="00B457BE" w:rsidRPr="00D1550C">
        <w:rPr>
          <w:rFonts w:ascii="Calibri" w:hAnsi="Calibri" w:cs="Calibri"/>
          <w:sz w:val="24"/>
          <w:szCs w:val="24"/>
          <w:lang w:val="en-US"/>
        </w:rPr>
        <w:t>THE FIRST</w:t>
      </w:r>
      <w:r w:rsidR="00F00768" w:rsidRPr="00D1550C">
        <w:rPr>
          <w:rFonts w:ascii="Calibri" w:hAnsi="Calibri" w:cs="Calibri"/>
          <w:sz w:val="24"/>
          <w:szCs w:val="24"/>
          <w:lang w:val="en-US"/>
        </w:rPr>
        <w:t xml:space="preserve"> </w:t>
      </w:r>
      <w:r w:rsidR="00B457BE" w:rsidRPr="00D1550C">
        <w:rPr>
          <w:rFonts w:ascii="Calibri" w:hAnsi="Calibri" w:cs="Calibri"/>
          <w:sz w:val="24"/>
          <w:szCs w:val="24"/>
          <w:lang w:val="en-US"/>
        </w:rPr>
        <w:t>HALF</w:t>
      </w:r>
      <w:r w:rsidR="00F00768" w:rsidRPr="00D1550C">
        <w:rPr>
          <w:rFonts w:ascii="Calibri" w:hAnsi="Calibri" w:cs="Calibri"/>
          <w:sz w:val="24"/>
          <w:szCs w:val="24"/>
          <w:lang w:val="en-US"/>
        </w:rPr>
        <w:t xml:space="preserve"> OF </w:t>
      </w:r>
      <w:r w:rsidRPr="00D1550C">
        <w:rPr>
          <w:rFonts w:ascii="Calibri" w:hAnsi="Calibri" w:cs="Calibri"/>
          <w:sz w:val="24"/>
          <w:szCs w:val="24"/>
          <w:lang w:val="en-US"/>
        </w:rPr>
        <w:t>20</w:t>
      </w:r>
      <w:r w:rsidR="00F00768" w:rsidRPr="00D1550C">
        <w:rPr>
          <w:rFonts w:ascii="Calibri" w:hAnsi="Calibri" w:cs="Calibri"/>
          <w:sz w:val="24"/>
          <w:szCs w:val="24"/>
          <w:lang w:val="en-US"/>
        </w:rPr>
        <w:t>20</w:t>
      </w:r>
      <w:r w:rsidR="00B33C6E" w:rsidRPr="00D1550C">
        <w:rPr>
          <w:rFonts w:ascii="Calibri" w:hAnsi="Calibri" w:cs="Calibri"/>
          <w:sz w:val="24"/>
          <w:szCs w:val="24"/>
          <w:lang w:val="en-US"/>
        </w:rPr>
        <w:t xml:space="preserve"> AND</w:t>
      </w:r>
      <w:r w:rsidRPr="00D1550C">
        <w:rPr>
          <w:rFonts w:ascii="Calibri" w:hAnsi="Calibri" w:cs="Calibri"/>
          <w:sz w:val="24"/>
          <w:szCs w:val="24"/>
          <w:lang w:val="en-US"/>
        </w:rPr>
        <w:t xml:space="preserve"> 20</w:t>
      </w:r>
      <w:r w:rsidR="008E4653" w:rsidRPr="00D1550C">
        <w:rPr>
          <w:rFonts w:ascii="Calibri" w:hAnsi="Calibri" w:cs="Calibri"/>
          <w:sz w:val="24"/>
          <w:szCs w:val="24"/>
          <w:lang w:val="en-US"/>
        </w:rPr>
        <w:t>2</w:t>
      </w:r>
      <w:r w:rsidR="00F00768" w:rsidRPr="00D1550C">
        <w:rPr>
          <w:rFonts w:ascii="Calibri" w:hAnsi="Calibri" w:cs="Calibri"/>
          <w:sz w:val="24"/>
          <w:szCs w:val="24"/>
          <w:lang w:val="en-US"/>
        </w:rPr>
        <w:t>1</w:t>
      </w:r>
      <w:bookmarkEnd w:id="30"/>
    </w:p>
    <w:p w:rsidR="00EC0D55" w:rsidRPr="00D1550C" w:rsidRDefault="00585EBB" w:rsidP="00F159FA">
      <w:pPr>
        <w:ind w:right="-314"/>
        <w:contextualSpacing/>
        <w:jc w:val="right"/>
        <w:rPr>
          <w:i/>
          <w:sz w:val="20"/>
          <w:szCs w:val="20"/>
        </w:rPr>
      </w:pPr>
      <w:r w:rsidRPr="00D1550C">
        <w:rPr>
          <w:i/>
          <w:sz w:val="20"/>
          <w:szCs w:val="20"/>
        </w:rPr>
        <w:t>(</w:t>
      </w:r>
      <w:r w:rsidR="005D5DBF" w:rsidRPr="00D1550C">
        <w:rPr>
          <w:i/>
          <w:sz w:val="20"/>
          <w:szCs w:val="20"/>
        </w:rPr>
        <w:t>mln</w:t>
      </w:r>
      <w:r w:rsidR="008E63FA" w:rsidRPr="00D1550C">
        <w:rPr>
          <w:i/>
          <w:sz w:val="20"/>
          <w:szCs w:val="20"/>
        </w:rPr>
        <w:t>. </w:t>
      </w:r>
      <w:r w:rsidR="005D5DBF" w:rsidRPr="00D1550C">
        <w:rPr>
          <w:i/>
          <w:sz w:val="20"/>
          <w:szCs w:val="20"/>
        </w:rPr>
        <w:t>USD</w:t>
      </w:r>
      <w:r w:rsidR="008E63FA" w:rsidRPr="00D1550C">
        <w:rPr>
          <w:i/>
          <w:sz w:val="20"/>
          <w:szCs w:val="20"/>
        </w:rPr>
        <w:t>.</w:t>
      </w:r>
      <w:r w:rsidRPr="00D1550C">
        <w:rPr>
          <w:i/>
          <w:sz w:val="20"/>
          <w:szCs w:val="20"/>
        </w:rPr>
        <w:t>)</w:t>
      </w:r>
    </w:p>
    <w:tbl>
      <w:tblPr>
        <w:tblW w:w="15078" w:type="dxa"/>
        <w:tblLook w:val="04A0" w:firstRow="1" w:lastRow="0" w:firstColumn="1" w:lastColumn="0" w:noHBand="0" w:noVBand="1"/>
      </w:tblPr>
      <w:tblGrid>
        <w:gridCol w:w="2494"/>
        <w:gridCol w:w="53"/>
        <w:gridCol w:w="798"/>
        <w:gridCol w:w="53"/>
        <w:gridCol w:w="660"/>
        <w:gridCol w:w="53"/>
        <w:gridCol w:w="939"/>
        <w:gridCol w:w="53"/>
        <w:gridCol w:w="660"/>
        <w:gridCol w:w="53"/>
        <w:gridCol w:w="1014"/>
        <w:gridCol w:w="53"/>
        <w:gridCol w:w="723"/>
        <w:gridCol w:w="53"/>
        <w:gridCol w:w="939"/>
        <w:gridCol w:w="53"/>
        <w:gridCol w:w="6"/>
        <w:gridCol w:w="934"/>
        <w:gridCol w:w="53"/>
        <w:gridCol w:w="797"/>
        <w:gridCol w:w="53"/>
        <w:gridCol w:w="939"/>
        <w:gridCol w:w="53"/>
        <w:gridCol w:w="798"/>
        <w:gridCol w:w="53"/>
        <w:gridCol w:w="1081"/>
        <w:gridCol w:w="53"/>
        <w:gridCol w:w="660"/>
        <w:gridCol w:w="53"/>
        <w:gridCol w:w="841"/>
        <w:gridCol w:w="53"/>
      </w:tblGrid>
      <w:tr w:rsidR="0078043D" w:rsidRPr="00D1550C" w:rsidTr="006A6DAA">
        <w:trPr>
          <w:trHeight w:val="340"/>
          <w:tblHeader/>
        </w:trPr>
        <w:tc>
          <w:tcPr>
            <w:tcW w:w="2547" w:type="dxa"/>
            <w:gridSpan w:val="2"/>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8043D" w:rsidRPr="00D1550C" w:rsidRDefault="0078043D" w:rsidP="0078043D">
            <w:pPr>
              <w:jc w:val="center"/>
              <w:rPr>
                <w:b/>
                <w:bCs/>
                <w:color w:val="000000"/>
                <w:sz w:val="18"/>
                <w:szCs w:val="18"/>
              </w:rPr>
            </w:pPr>
            <w:r w:rsidRPr="00D1550C">
              <w:rPr>
                <w:b/>
                <w:bCs/>
                <w:color w:val="000000"/>
                <w:sz w:val="18"/>
                <w:szCs w:val="18"/>
              </w:rPr>
              <w:t>Region/Country</w:t>
            </w:r>
          </w:p>
        </w:tc>
        <w:tc>
          <w:tcPr>
            <w:tcW w:w="6110" w:type="dxa"/>
            <w:gridSpan w:val="15"/>
            <w:tcBorders>
              <w:top w:val="single" w:sz="4" w:space="0" w:color="5B9BD5"/>
              <w:left w:val="nil"/>
              <w:bottom w:val="single" w:sz="4" w:space="0" w:color="5B9BD5"/>
              <w:right w:val="single" w:sz="4" w:space="0" w:color="5B9BD5"/>
            </w:tcBorders>
            <w:shd w:val="clear" w:color="auto" w:fill="auto"/>
            <w:noWrap/>
            <w:vAlign w:val="center"/>
            <w:hideMark/>
          </w:tcPr>
          <w:p w:rsidR="0078043D" w:rsidRPr="00D1550C" w:rsidRDefault="00B457BE" w:rsidP="00B457BE">
            <w:pPr>
              <w:jc w:val="center"/>
              <w:rPr>
                <w:b/>
                <w:bCs/>
                <w:color w:val="000000"/>
                <w:sz w:val="20"/>
                <w:szCs w:val="18"/>
              </w:rPr>
            </w:pPr>
            <w:r w:rsidRPr="00D1550C">
              <w:rPr>
                <w:b/>
                <w:bCs/>
                <w:color w:val="000000"/>
                <w:sz w:val="20"/>
                <w:szCs w:val="18"/>
              </w:rPr>
              <w:t>For the</w:t>
            </w:r>
            <w:r w:rsidR="0078043D" w:rsidRPr="00D1550C">
              <w:rPr>
                <w:b/>
                <w:bCs/>
                <w:color w:val="000000"/>
                <w:sz w:val="20"/>
                <w:szCs w:val="18"/>
              </w:rPr>
              <w:t xml:space="preserve"> </w:t>
            </w:r>
            <w:r w:rsidRPr="00D1550C">
              <w:rPr>
                <w:b/>
                <w:bCs/>
                <w:color w:val="000000"/>
                <w:sz w:val="20"/>
                <w:szCs w:val="18"/>
              </w:rPr>
              <w:t>1</w:t>
            </w:r>
            <w:r w:rsidRPr="00D1550C">
              <w:rPr>
                <w:b/>
                <w:bCs/>
                <w:color w:val="000000"/>
                <w:sz w:val="20"/>
                <w:szCs w:val="18"/>
                <w:vertAlign w:val="superscript"/>
              </w:rPr>
              <w:t>ST</w:t>
            </w:r>
            <w:r w:rsidRPr="00D1550C">
              <w:rPr>
                <w:b/>
                <w:bCs/>
                <w:color w:val="000000"/>
                <w:sz w:val="20"/>
                <w:szCs w:val="18"/>
              </w:rPr>
              <w:t xml:space="preserve"> half 2020</w:t>
            </w:r>
          </w:p>
        </w:tc>
        <w:tc>
          <w:tcPr>
            <w:tcW w:w="6421" w:type="dxa"/>
            <w:gridSpan w:val="14"/>
            <w:tcBorders>
              <w:top w:val="single" w:sz="4" w:space="0" w:color="5B9BD5"/>
              <w:left w:val="nil"/>
              <w:bottom w:val="single" w:sz="4" w:space="0" w:color="5B9BD5"/>
              <w:right w:val="single" w:sz="4" w:space="0" w:color="5B9BD5"/>
            </w:tcBorders>
            <w:shd w:val="clear" w:color="auto" w:fill="auto"/>
            <w:noWrap/>
            <w:vAlign w:val="center"/>
            <w:hideMark/>
          </w:tcPr>
          <w:p w:rsidR="0078043D" w:rsidRPr="00D1550C" w:rsidRDefault="00B457BE" w:rsidP="00B457BE">
            <w:pPr>
              <w:jc w:val="center"/>
              <w:rPr>
                <w:b/>
                <w:bCs/>
                <w:color w:val="000000"/>
                <w:sz w:val="20"/>
                <w:szCs w:val="18"/>
              </w:rPr>
            </w:pPr>
            <w:r w:rsidRPr="00D1550C">
              <w:rPr>
                <w:b/>
                <w:bCs/>
                <w:color w:val="000000"/>
                <w:sz w:val="20"/>
                <w:szCs w:val="18"/>
              </w:rPr>
              <w:t>For the 1</w:t>
            </w:r>
            <w:r w:rsidRPr="00D1550C">
              <w:rPr>
                <w:b/>
                <w:bCs/>
                <w:color w:val="000000"/>
                <w:sz w:val="20"/>
                <w:szCs w:val="18"/>
                <w:vertAlign w:val="superscript"/>
              </w:rPr>
              <w:t>ST</w:t>
            </w:r>
            <w:r w:rsidRPr="00D1550C">
              <w:rPr>
                <w:b/>
                <w:bCs/>
                <w:color w:val="000000"/>
                <w:sz w:val="20"/>
                <w:szCs w:val="18"/>
              </w:rPr>
              <w:t xml:space="preserve"> half 2021</w:t>
            </w:r>
          </w:p>
        </w:tc>
      </w:tr>
      <w:tr w:rsidR="0078043D" w:rsidRPr="00D1550C" w:rsidTr="006A6DAA">
        <w:trPr>
          <w:trHeight w:val="340"/>
          <w:tblHeader/>
        </w:trPr>
        <w:tc>
          <w:tcPr>
            <w:tcW w:w="2547" w:type="dxa"/>
            <w:gridSpan w:val="2"/>
            <w:vMerge/>
            <w:tcBorders>
              <w:top w:val="single" w:sz="4" w:space="0" w:color="5B9BD5"/>
              <w:left w:val="single" w:sz="4" w:space="0" w:color="5B9BD5"/>
              <w:bottom w:val="single" w:sz="4" w:space="0" w:color="5B9BD5"/>
              <w:right w:val="single" w:sz="4" w:space="0" w:color="5B9BD5"/>
            </w:tcBorders>
            <w:vAlign w:val="center"/>
            <w:hideMark/>
          </w:tcPr>
          <w:p w:rsidR="0078043D" w:rsidRPr="00D1550C" w:rsidRDefault="0078043D" w:rsidP="0078043D">
            <w:pPr>
              <w:rPr>
                <w:b/>
                <w:bCs/>
                <w:color w:val="000000"/>
                <w:sz w:val="18"/>
                <w:szCs w:val="18"/>
              </w:rPr>
            </w:pPr>
          </w:p>
        </w:tc>
        <w:tc>
          <w:tcPr>
            <w:tcW w:w="851"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Export</w:t>
            </w:r>
          </w:p>
        </w:tc>
        <w:tc>
          <w:tcPr>
            <w:tcW w:w="713"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w:t>
            </w:r>
          </w:p>
        </w:tc>
        <w:tc>
          <w:tcPr>
            <w:tcW w:w="992"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Import</w:t>
            </w:r>
          </w:p>
        </w:tc>
        <w:tc>
          <w:tcPr>
            <w:tcW w:w="713"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w:t>
            </w:r>
          </w:p>
        </w:tc>
        <w:tc>
          <w:tcPr>
            <w:tcW w:w="1067"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commodity circulation</w:t>
            </w:r>
          </w:p>
        </w:tc>
        <w:tc>
          <w:tcPr>
            <w:tcW w:w="776"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w:t>
            </w:r>
          </w:p>
        </w:tc>
        <w:tc>
          <w:tcPr>
            <w:tcW w:w="992"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balance</w:t>
            </w:r>
          </w:p>
        </w:tc>
        <w:tc>
          <w:tcPr>
            <w:tcW w:w="993" w:type="dxa"/>
            <w:gridSpan w:val="3"/>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Export</w:t>
            </w:r>
          </w:p>
        </w:tc>
        <w:tc>
          <w:tcPr>
            <w:tcW w:w="850"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w:t>
            </w:r>
          </w:p>
        </w:tc>
        <w:tc>
          <w:tcPr>
            <w:tcW w:w="992"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Import</w:t>
            </w:r>
          </w:p>
        </w:tc>
        <w:tc>
          <w:tcPr>
            <w:tcW w:w="851"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w:t>
            </w:r>
          </w:p>
        </w:tc>
        <w:tc>
          <w:tcPr>
            <w:tcW w:w="1134"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commodity circulation</w:t>
            </w:r>
          </w:p>
        </w:tc>
        <w:tc>
          <w:tcPr>
            <w:tcW w:w="713"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w:t>
            </w:r>
          </w:p>
        </w:tc>
        <w:tc>
          <w:tcPr>
            <w:tcW w:w="894" w:type="dxa"/>
            <w:gridSpan w:val="2"/>
            <w:tcBorders>
              <w:top w:val="nil"/>
              <w:left w:val="nil"/>
              <w:bottom w:val="single" w:sz="4" w:space="0" w:color="5B9BD5"/>
              <w:right w:val="single" w:sz="4" w:space="0" w:color="5B9BD5"/>
            </w:tcBorders>
            <w:shd w:val="clear" w:color="000000" w:fill="BDD7EE"/>
            <w:vAlign w:val="center"/>
            <w:hideMark/>
          </w:tcPr>
          <w:p w:rsidR="0078043D" w:rsidRPr="00D1550C" w:rsidRDefault="0078043D" w:rsidP="0078043D">
            <w:pPr>
              <w:jc w:val="center"/>
              <w:rPr>
                <w:b/>
                <w:bCs/>
                <w:color w:val="000000"/>
                <w:sz w:val="18"/>
                <w:szCs w:val="18"/>
              </w:rPr>
            </w:pPr>
            <w:r w:rsidRPr="00D1550C">
              <w:rPr>
                <w:b/>
                <w:bCs/>
                <w:color w:val="000000"/>
                <w:sz w:val="18"/>
                <w:szCs w:val="18"/>
              </w:rPr>
              <w:t>balance</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000000" w:fill="BDD7EE"/>
            <w:noWrap/>
            <w:vAlign w:val="bottom"/>
            <w:hideMark/>
          </w:tcPr>
          <w:p w:rsidR="006A6DAA" w:rsidRPr="00D1550C" w:rsidRDefault="006A6DAA" w:rsidP="006A6DAA">
            <w:pPr>
              <w:rPr>
                <w:b/>
                <w:bCs/>
                <w:color w:val="000000"/>
                <w:sz w:val="18"/>
                <w:szCs w:val="18"/>
              </w:rPr>
            </w:pPr>
            <w:r w:rsidRPr="00D1550C">
              <w:rPr>
                <w:b/>
                <w:bCs/>
                <w:color w:val="000000"/>
                <w:sz w:val="18"/>
                <w:szCs w:val="18"/>
              </w:rPr>
              <w:t>TOTAL</w:t>
            </w:r>
          </w:p>
        </w:tc>
        <w:tc>
          <w:tcPr>
            <w:tcW w:w="851"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5 148,9</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100%</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9 176,9</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100%</w:t>
            </w:r>
          </w:p>
        </w:tc>
        <w:tc>
          <w:tcPr>
            <w:tcW w:w="1067"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14 325,8</w:t>
            </w:r>
          </w:p>
        </w:tc>
        <w:tc>
          <w:tcPr>
            <w:tcW w:w="776"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100%</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-4 028,0</w:t>
            </w:r>
          </w:p>
        </w:tc>
        <w:tc>
          <w:tcPr>
            <w:tcW w:w="993" w:type="dxa"/>
            <w:gridSpan w:val="3"/>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5 915,9</w:t>
            </w:r>
          </w:p>
        </w:tc>
        <w:tc>
          <w:tcPr>
            <w:tcW w:w="850"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100%</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11 517,6</w:t>
            </w:r>
          </w:p>
        </w:tc>
        <w:tc>
          <w:tcPr>
            <w:tcW w:w="851"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100%</w:t>
            </w:r>
          </w:p>
        </w:tc>
        <w:tc>
          <w:tcPr>
            <w:tcW w:w="1134"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17 433,5</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100%</w:t>
            </w:r>
          </w:p>
        </w:tc>
        <w:tc>
          <w:tcPr>
            <w:tcW w:w="894"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-5 601,7</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000000" w:fill="BDD7EE"/>
            <w:noWrap/>
            <w:vAlign w:val="bottom"/>
            <w:hideMark/>
          </w:tcPr>
          <w:p w:rsidR="006A6DAA" w:rsidRPr="00D1550C" w:rsidRDefault="006A6DAA" w:rsidP="006A6DAA">
            <w:pPr>
              <w:rPr>
                <w:b/>
                <w:bCs/>
                <w:color w:val="000000"/>
                <w:sz w:val="18"/>
                <w:szCs w:val="18"/>
              </w:rPr>
            </w:pPr>
            <w:r w:rsidRPr="00D1550C">
              <w:rPr>
                <w:b/>
                <w:bCs/>
                <w:color w:val="000000"/>
                <w:sz w:val="18"/>
                <w:szCs w:val="18"/>
              </w:rPr>
              <w:t>CIS countries</w:t>
            </w:r>
          </w:p>
        </w:tc>
        <w:tc>
          <w:tcPr>
            <w:tcW w:w="851"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szCs w:val="20"/>
              </w:rPr>
            </w:pPr>
            <w:r w:rsidRPr="00D1550C">
              <w:rPr>
                <w:rFonts w:cs="Calibri"/>
                <w:b/>
                <w:bCs/>
                <w:color w:val="000000"/>
                <w:sz w:val="20"/>
                <w:szCs w:val="20"/>
              </w:rPr>
              <w:t>1 445,7</w:t>
            </w:r>
          </w:p>
        </w:tc>
        <w:tc>
          <w:tcPr>
            <w:tcW w:w="713"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28,1%</w:t>
            </w:r>
          </w:p>
        </w:tc>
        <w:tc>
          <w:tcPr>
            <w:tcW w:w="992"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szCs w:val="20"/>
              </w:rPr>
            </w:pPr>
            <w:r w:rsidRPr="00D1550C">
              <w:rPr>
                <w:rFonts w:cs="Calibri"/>
                <w:b/>
                <w:bCs/>
                <w:color w:val="000000"/>
                <w:sz w:val="20"/>
                <w:szCs w:val="20"/>
              </w:rPr>
              <w:t>3 316,7</w:t>
            </w:r>
          </w:p>
        </w:tc>
        <w:tc>
          <w:tcPr>
            <w:tcW w:w="713"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36,1%</w:t>
            </w:r>
          </w:p>
        </w:tc>
        <w:tc>
          <w:tcPr>
            <w:tcW w:w="1067"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i/>
                <w:iCs/>
                <w:color w:val="000000"/>
                <w:sz w:val="20"/>
                <w:szCs w:val="20"/>
              </w:rPr>
            </w:pPr>
            <w:r w:rsidRPr="00D1550C">
              <w:rPr>
                <w:rFonts w:cs="Calibri"/>
                <w:b/>
                <w:bCs/>
                <w:i/>
                <w:iCs/>
                <w:color w:val="000000"/>
                <w:sz w:val="20"/>
                <w:szCs w:val="20"/>
              </w:rPr>
              <w:t>4 762,4</w:t>
            </w:r>
          </w:p>
        </w:tc>
        <w:tc>
          <w:tcPr>
            <w:tcW w:w="776"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33,2%</w:t>
            </w:r>
          </w:p>
        </w:tc>
        <w:tc>
          <w:tcPr>
            <w:tcW w:w="992"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i/>
                <w:iCs/>
                <w:color w:val="000000"/>
                <w:sz w:val="20"/>
                <w:szCs w:val="20"/>
              </w:rPr>
            </w:pPr>
            <w:r w:rsidRPr="00D1550C">
              <w:rPr>
                <w:rFonts w:cs="Calibri"/>
                <w:b/>
                <w:bCs/>
                <w:i/>
                <w:iCs/>
                <w:color w:val="000000"/>
                <w:sz w:val="20"/>
                <w:szCs w:val="20"/>
              </w:rPr>
              <w:t>-1 871,0</w:t>
            </w:r>
          </w:p>
        </w:tc>
        <w:tc>
          <w:tcPr>
            <w:tcW w:w="993" w:type="dxa"/>
            <w:gridSpan w:val="3"/>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szCs w:val="20"/>
              </w:rPr>
            </w:pPr>
            <w:r w:rsidRPr="00D1550C">
              <w:rPr>
                <w:rFonts w:cs="Calibri"/>
                <w:b/>
                <w:bCs/>
                <w:color w:val="000000"/>
                <w:sz w:val="20"/>
                <w:szCs w:val="20"/>
              </w:rPr>
              <w:t>1 858,3</w:t>
            </w:r>
          </w:p>
        </w:tc>
        <w:tc>
          <w:tcPr>
            <w:tcW w:w="850"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31,4%</w:t>
            </w:r>
          </w:p>
        </w:tc>
        <w:tc>
          <w:tcPr>
            <w:tcW w:w="992"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szCs w:val="20"/>
              </w:rPr>
            </w:pPr>
            <w:r w:rsidRPr="00D1550C">
              <w:rPr>
                <w:rFonts w:cs="Calibri"/>
                <w:b/>
                <w:bCs/>
                <w:color w:val="000000"/>
                <w:sz w:val="20"/>
                <w:szCs w:val="20"/>
              </w:rPr>
              <w:t>4 396,0</w:t>
            </w:r>
          </w:p>
        </w:tc>
        <w:tc>
          <w:tcPr>
            <w:tcW w:w="851"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38,2%</w:t>
            </w:r>
          </w:p>
        </w:tc>
        <w:tc>
          <w:tcPr>
            <w:tcW w:w="1134"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i/>
                <w:iCs/>
                <w:color w:val="000000"/>
                <w:sz w:val="20"/>
                <w:szCs w:val="20"/>
              </w:rPr>
            </w:pPr>
            <w:r w:rsidRPr="00D1550C">
              <w:rPr>
                <w:rFonts w:cs="Calibri"/>
                <w:b/>
                <w:bCs/>
                <w:i/>
                <w:iCs/>
                <w:color w:val="000000"/>
                <w:sz w:val="20"/>
                <w:szCs w:val="20"/>
              </w:rPr>
              <w:t>6 254,4</w:t>
            </w:r>
          </w:p>
        </w:tc>
        <w:tc>
          <w:tcPr>
            <w:tcW w:w="713"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35,9%</w:t>
            </w:r>
          </w:p>
        </w:tc>
        <w:tc>
          <w:tcPr>
            <w:tcW w:w="894"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szCs w:val="20"/>
              </w:rPr>
            </w:pPr>
            <w:r w:rsidRPr="00D1550C">
              <w:rPr>
                <w:rFonts w:cs="Calibri"/>
                <w:b/>
                <w:bCs/>
                <w:i/>
                <w:iCs/>
                <w:color w:val="000000"/>
                <w:sz w:val="20"/>
                <w:szCs w:val="20"/>
              </w:rPr>
              <w:t>-2 537,7</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RUSSIA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529,2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2 016,2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22,0%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2 545,4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17,8%</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-1487,0</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716,0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12,1%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2 403,1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20,9%</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3 119,2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17,9%</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-1 687,1</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KAZAKHSTAN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339,9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6,6%</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857,0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9,3%</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1 196,9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-517,1</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487,7</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1 326,5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11,5%</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1 814,2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10,4%</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-838,8</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KYRGYZSTAN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320,9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58,3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379,1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262,6</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337,6</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5,7%</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97,1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434,7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2,5%</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240,5</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UKRAINE</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46,6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131,2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177,8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-84,7</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85,1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175,5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1,5%</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260,5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1,5%</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-90,4</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TURKMENISTAN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34,2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0,7%</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126,2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160,4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-92,0</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31,5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192,8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224,3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-161,4</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 xml:space="preserve">TAJIKISTAN </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126,1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24,8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151,0</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101,3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143,6</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29,3</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173,0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114,3</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BELARUS</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18,9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87,5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106,5</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0,7%</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-68,6</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21,0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151,5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172,4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-130,5</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AZERBAIJAN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28,3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42,5</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14,1</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32,4</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18,7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51,0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13,7</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ARMENIA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2,0</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000000" w:fill="BDD7EE"/>
            <w:noWrap/>
            <w:vAlign w:val="bottom"/>
            <w:hideMark/>
          </w:tcPr>
          <w:p w:rsidR="006A6DAA" w:rsidRPr="00D1550C" w:rsidRDefault="006A6DAA" w:rsidP="006A6DAA">
            <w:pPr>
              <w:rPr>
                <w:b/>
                <w:bCs/>
                <w:color w:val="000000"/>
                <w:sz w:val="18"/>
                <w:szCs w:val="18"/>
              </w:rPr>
            </w:pPr>
            <w:r w:rsidRPr="00D1550C">
              <w:rPr>
                <w:b/>
                <w:bCs/>
                <w:color w:val="000000"/>
                <w:sz w:val="18"/>
                <w:szCs w:val="18"/>
              </w:rPr>
              <w:t>ASIA</w:t>
            </w:r>
          </w:p>
        </w:tc>
        <w:tc>
          <w:tcPr>
            <w:tcW w:w="851"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910,3</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17,7%</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3 512,4</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38,3%</w:t>
            </w:r>
          </w:p>
        </w:tc>
        <w:tc>
          <w:tcPr>
            <w:tcW w:w="1067"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4 422,7</w:t>
            </w:r>
          </w:p>
        </w:tc>
        <w:tc>
          <w:tcPr>
            <w:tcW w:w="776"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color w:val="000000"/>
                <w:sz w:val="20"/>
              </w:rPr>
            </w:pPr>
            <w:r w:rsidRPr="00D1550C">
              <w:rPr>
                <w:rFonts w:cs="Calibri"/>
                <w:color w:val="000000"/>
                <w:sz w:val="20"/>
              </w:rPr>
              <w:t>30,9%</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-2 602,2</w:t>
            </w:r>
          </w:p>
        </w:tc>
        <w:tc>
          <w:tcPr>
            <w:tcW w:w="993" w:type="dxa"/>
            <w:gridSpan w:val="3"/>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1 287,6</w:t>
            </w:r>
          </w:p>
        </w:tc>
        <w:tc>
          <w:tcPr>
            <w:tcW w:w="850"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21,8%</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3 850,9</w:t>
            </w:r>
          </w:p>
        </w:tc>
        <w:tc>
          <w:tcPr>
            <w:tcW w:w="851"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33,4%</w:t>
            </w:r>
          </w:p>
        </w:tc>
        <w:tc>
          <w:tcPr>
            <w:tcW w:w="1134"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5 138,5</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color w:val="000000"/>
                <w:sz w:val="20"/>
              </w:rPr>
            </w:pPr>
            <w:r w:rsidRPr="00D1550C">
              <w:rPr>
                <w:rFonts w:cs="Calibri"/>
                <w:color w:val="000000"/>
                <w:sz w:val="20"/>
              </w:rPr>
              <w:t>29,5%</w:t>
            </w:r>
          </w:p>
        </w:tc>
        <w:tc>
          <w:tcPr>
            <w:tcW w:w="894"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-2 563,3</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CHINA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545,9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10,6%</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2 004,7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21,8%</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2 550,6</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17,8%</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-1 458,8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723,5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12,2%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2 338,7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20,3%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3 062,2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17,6%</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-1 615,1</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REPUBLIC OF KOREA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11,3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1 067,0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11,6%</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1 078,3</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-1 055,7</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10,9</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831,3</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7,2%</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842,2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4,8%</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-820,4</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INDIA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38,8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103,9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142,7</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-65,2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118,3</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218,3</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1,9%</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336,6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1,9%</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-100,1</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 xml:space="preserve">AFGHANISTAN </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181,7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182,1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181,3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158,7</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2,7%</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156,9</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IRAN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52,3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43,2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95,5</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0,7%</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9,0</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100,8</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99,1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199,9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1,8</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JAPAN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88,9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89,7</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-88,2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73,7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76,2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-71,3</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UNITED ARAB EMIRATES</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71,5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79,9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-63,2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53,4</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149,3</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202,6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1,2%</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-95,9</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THAILAND</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36,2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36,2</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-36,2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0,9</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23,7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24,6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-22,8</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PAKISTAN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19,7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9,5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29,2</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59,1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20,1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79,2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38,9</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MALAYSIA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28,4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30,0</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2,7</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30,0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32,8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-27,3</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lastRenderedPageBreak/>
              <w:t>VIETNAM</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17,5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20,8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7,7</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13,5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21,2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-5,8</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BANGLADESH</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16,5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21,8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4,7</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10,6</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15,3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-6,0</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INDONESIA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11,7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18,9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4,4</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4,6</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6,0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SINGAPORE</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6,9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12,8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0,2</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4,3</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-4,0</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ISRAEL</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11,2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-10,6</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1,7</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12,0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-10,4</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IRAQ</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3,8</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3,8</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TAIWAN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0,9</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14,9</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15,8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-13,9</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SAUDI ARABIA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PHILIPPINES</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MONGOLIA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0,9</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JORDAN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0,6</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KUWAIT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0,2</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QATAR</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LEBANON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YEMEN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-0,7</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000000" w:fill="BDD7EE"/>
            <w:noWrap/>
            <w:vAlign w:val="bottom"/>
            <w:hideMark/>
          </w:tcPr>
          <w:p w:rsidR="006A6DAA" w:rsidRPr="00D1550C" w:rsidRDefault="006A6DAA" w:rsidP="006A6DAA">
            <w:pPr>
              <w:rPr>
                <w:b/>
                <w:bCs/>
                <w:color w:val="000000"/>
                <w:sz w:val="18"/>
                <w:szCs w:val="18"/>
              </w:rPr>
            </w:pPr>
            <w:r w:rsidRPr="00D1550C">
              <w:rPr>
                <w:b/>
                <w:bCs/>
                <w:color w:val="000000"/>
                <w:sz w:val="18"/>
                <w:szCs w:val="18"/>
              </w:rPr>
              <w:t>EUROPE</w:t>
            </w:r>
          </w:p>
        </w:tc>
        <w:tc>
          <w:tcPr>
            <w:tcW w:w="851"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2 733,8</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53,1%</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2 185,6</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23,8%</w:t>
            </w:r>
          </w:p>
        </w:tc>
        <w:tc>
          <w:tcPr>
            <w:tcW w:w="1067"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4 919,4</w:t>
            </w:r>
          </w:p>
        </w:tc>
        <w:tc>
          <w:tcPr>
            <w:tcW w:w="776"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34,3%</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548,2</w:t>
            </w:r>
          </w:p>
        </w:tc>
        <w:tc>
          <w:tcPr>
            <w:tcW w:w="993" w:type="dxa"/>
            <w:gridSpan w:val="3"/>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2 622,1</w:t>
            </w:r>
          </w:p>
        </w:tc>
        <w:tc>
          <w:tcPr>
            <w:tcW w:w="850"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44,3%</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2 810,8</w:t>
            </w:r>
          </w:p>
        </w:tc>
        <w:tc>
          <w:tcPr>
            <w:tcW w:w="851"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24,4%</w:t>
            </w:r>
          </w:p>
        </w:tc>
        <w:tc>
          <w:tcPr>
            <w:tcW w:w="1134"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5 433,0</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31,2%</w:t>
            </w:r>
          </w:p>
        </w:tc>
        <w:tc>
          <w:tcPr>
            <w:tcW w:w="894"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-188,7</w:t>
            </w:r>
          </w:p>
        </w:tc>
      </w:tr>
      <w:tr w:rsidR="006A6DAA" w:rsidRPr="00D1550C" w:rsidTr="006A6DAA">
        <w:trPr>
          <w:trHeight w:val="340"/>
        </w:trPr>
        <w:tc>
          <w:tcPr>
            <w:tcW w:w="2547" w:type="dxa"/>
            <w:gridSpan w:val="2"/>
            <w:tcBorders>
              <w:top w:val="nil"/>
              <w:left w:val="single" w:sz="4" w:space="0" w:color="5B9BD5"/>
              <w:bottom w:val="single" w:sz="4" w:space="0" w:color="5B9BD5"/>
              <w:right w:val="single" w:sz="4" w:space="0" w:color="5B9BD5"/>
            </w:tcBorders>
            <w:shd w:val="clear" w:color="000000" w:fill="BDD7EE"/>
            <w:noWrap/>
            <w:vAlign w:val="bottom"/>
            <w:hideMark/>
          </w:tcPr>
          <w:p w:rsidR="006A6DAA" w:rsidRPr="00D1550C" w:rsidRDefault="006A6DAA" w:rsidP="006A6DAA">
            <w:pPr>
              <w:rPr>
                <w:b/>
                <w:bCs/>
                <w:color w:val="000000"/>
                <w:sz w:val="18"/>
                <w:szCs w:val="18"/>
              </w:rPr>
            </w:pPr>
            <w:r w:rsidRPr="00D1550C">
              <w:rPr>
                <w:b/>
                <w:bCs/>
                <w:color w:val="000000"/>
                <w:sz w:val="18"/>
                <w:szCs w:val="18"/>
              </w:rPr>
              <w:t>Eurozone</w:t>
            </w:r>
          </w:p>
        </w:tc>
        <w:tc>
          <w:tcPr>
            <w:tcW w:w="851"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162,0</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3,1%</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1 596,7</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17,4%</w:t>
            </w:r>
          </w:p>
        </w:tc>
        <w:tc>
          <w:tcPr>
            <w:tcW w:w="1067"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1 758,7</w:t>
            </w:r>
          </w:p>
        </w:tc>
        <w:tc>
          <w:tcPr>
            <w:tcW w:w="776"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12,3%</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-1 434,7</w:t>
            </w:r>
          </w:p>
        </w:tc>
        <w:tc>
          <w:tcPr>
            <w:tcW w:w="993" w:type="dxa"/>
            <w:gridSpan w:val="3"/>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174,7</w:t>
            </w:r>
          </w:p>
        </w:tc>
        <w:tc>
          <w:tcPr>
            <w:tcW w:w="850"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3,0%</w:t>
            </w:r>
          </w:p>
        </w:tc>
        <w:tc>
          <w:tcPr>
            <w:tcW w:w="992"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1 682,1</w:t>
            </w:r>
          </w:p>
        </w:tc>
        <w:tc>
          <w:tcPr>
            <w:tcW w:w="851"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14,6%</w:t>
            </w:r>
          </w:p>
        </w:tc>
        <w:tc>
          <w:tcPr>
            <w:tcW w:w="1134"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color w:val="000000"/>
                <w:sz w:val="20"/>
              </w:rPr>
            </w:pPr>
            <w:r w:rsidRPr="00D1550C">
              <w:rPr>
                <w:rFonts w:cs="Calibri"/>
                <w:b/>
                <w:bCs/>
                <w:color w:val="000000"/>
                <w:sz w:val="20"/>
              </w:rPr>
              <w:t>1 856,8</w:t>
            </w:r>
          </w:p>
        </w:tc>
        <w:tc>
          <w:tcPr>
            <w:tcW w:w="713"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i/>
                <w:iCs/>
                <w:color w:val="000000"/>
                <w:sz w:val="20"/>
              </w:rPr>
            </w:pPr>
            <w:r w:rsidRPr="00D1550C">
              <w:rPr>
                <w:rFonts w:cs="Calibri"/>
                <w:i/>
                <w:iCs/>
                <w:color w:val="000000"/>
                <w:sz w:val="20"/>
              </w:rPr>
              <w:t>10,7%</w:t>
            </w:r>
          </w:p>
        </w:tc>
        <w:tc>
          <w:tcPr>
            <w:tcW w:w="894" w:type="dxa"/>
            <w:gridSpan w:val="2"/>
            <w:tcBorders>
              <w:top w:val="nil"/>
              <w:left w:val="nil"/>
              <w:bottom w:val="single" w:sz="4" w:space="0" w:color="5B9BD5"/>
              <w:right w:val="single" w:sz="4" w:space="0" w:color="5B9BD5"/>
            </w:tcBorders>
            <w:shd w:val="clear" w:color="000000" w:fill="BDD7EE"/>
            <w:noWrap/>
            <w:vAlign w:val="bottom"/>
            <w:hideMark/>
          </w:tcPr>
          <w:p w:rsidR="006A6DAA" w:rsidRPr="00D1550C" w:rsidRDefault="006A6DAA" w:rsidP="006A6DAA">
            <w:pPr>
              <w:jc w:val="center"/>
              <w:rPr>
                <w:rFonts w:cs="Calibri"/>
                <w:b/>
                <w:bCs/>
                <w:i/>
                <w:iCs/>
                <w:color w:val="000000"/>
                <w:sz w:val="20"/>
              </w:rPr>
            </w:pPr>
            <w:r w:rsidRPr="00D1550C">
              <w:rPr>
                <w:rFonts w:cs="Calibri"/>
                <w:b/>
                <w:bCs/>
                <w:i/>
                <w:iCs/>
                <w:color w:val="000000"/>
                <w:sz w:val="20"/>
              </w:rPr>
              <w:t>-1 507,5</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GERMANY</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color w:val="000000"/>
                <w:sz w:val="20"/>
                <w:szCs w:val="20"/>
              </w:rPr>
              <w:t>11,9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color w:val="000000"/>
                <w:sz w:val="20"/>
                <w:szCs w:val="20"/>
              </w:rPr>
              <w:t>290,6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3,2%</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i/>
                <w:iCs/>
                <w:color w:val="000000"/>
                <w:sz w:val="20"/>
                <w:szCs w:val="20"/>
              </w:rPr>
              <w:t>302,5</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i/>
                <w:iCs/>
                <w:color w:val="000000"/>
                <w:sz w:val="20"/>
                <w:szCs w:val="20"/>
              </w:rPr>
            </w:pPr>
            <w:r w:rsidRPr="00D1550C">
              <w:rPr>
                <w:rFonts w:cs="Calibri"/>
                <w:i/>
                <w:iCs/>
                <w:color w:val="000000"/>
                <w:sz w:val="20"/>
                <w:szCs w:val="20"/>
              </w:rPr>
              <w:t>-278,8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color w:val="000000"/>
                <w:sz w:val="20"/>
                <w:szCs w:val="20"/>
              </w:rPr>
              <w:t>19,5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color w:val="000000"/>
                <w:sz w:val="20"/>
                <w:szCs w:val="20"/>
              </w:rPr>
              <w:t>326,1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2,8%</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i/>
                <w:iCs/>
                <w:color w:val="000000"/>
                <w:sz w:val="20"/>
                <w:szCs w:val="20"/>
              </w:rPr>
              <w:t>345,5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i/>
                <w:iCs/>
                <w:color w:val="000000"/>
                <w:sz w:val="20"/>
                <w:szCs w:val="20"/>
              </w:rPr>
            </w:pPr>
            <w:r w:rsidRPr="00D1550C">
              <w:rPr>
                <w:rFonts w:cs="Calibri"/>
                <w:i/>
                <w:iCs/>
                <w:color w:val="000000"/>
                <w:sz w:val="20"/>
                <w:szCs w:val="20"/>
              </w:rPr>
              <w:t>-306,6</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CZECH REPUBLIC</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166,1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1,8%</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168,4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-163,8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145,6</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147,6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-143,7</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LITHUANIA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11,5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267,3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2,9%</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278,7</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1,9%</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-255,8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30,1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304,9</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335,0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1,9%</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-274,8</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LATVIA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188,5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203,3</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-173,8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31,4</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116,7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148,1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-85,3</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ITALY</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113,9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1,2%</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119,6</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-108,2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15,6</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181,8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197,4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-166,1</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NETHERLANDS</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9,8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124,1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133,9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-114,3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105,1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0,9%</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119,6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0,7%</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-90,6</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FRANCE</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71,8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72,3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144,1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2,9</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84,5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0,7%</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87,4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-81,6</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POLAND</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26,9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54,4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81,3</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-27,4</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35,7</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67,9</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103,6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-32,3</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lastRenderedPageBreak/>
              <w:t>ESTONIA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43,9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45,9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-41,9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4,2</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60,1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64,4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-55,9</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HUNGARY</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45,4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45,6</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-45,2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44,7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45,2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-44,2</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AUSTRIA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50,7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0,6%</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51,3</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-50,1</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55,5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56,0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-55,1</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SLOVENIA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26,1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-26,1</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0,2</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34,4</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34,6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-34,2</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BELGIUM</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23,3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24,2</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-22,3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4,2</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29,7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33,9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-25,5</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FINLAND</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24,5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24,5</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-24,5</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0,3</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27,9</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28,2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-27,6</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IRELAND</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18,6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18,6</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-18,6</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16,1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-16,1</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DENMARK</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21,9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21,9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-21,9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5,4</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-5,3</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SPAIN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16,3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16,7</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-15,9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1,9</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28,2</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-26,3</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BULGARIA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13,2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13,8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-12,7</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13,8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17,9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-9,7</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SWEDEN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6,7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6,7</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-6,7</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7,4</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-7,3</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CYPRUS</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-4,6</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2,9</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-2,8</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SLOVAKIA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6,1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-6,1</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LUXEMBOURG</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5,8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-5,5</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7,5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-7,5</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PORTUGAL</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3,9</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2,5</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GREECE</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w:t>
            </w:r>
          </w:p>
        </w:tc>
      </w:tr>
      <w:tr w:rsidR="006A6DAA"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CROATIA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0,4</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000000" w:fill="BDD7EE"/>
            <w:noWrap/>
            <w:vAlign w:val="bottom"/>
            <w:hideMark/>
          </w:tcPr>
          <w:p w:rsidR="006A6DAA" w:rsidRPr="00D1550C" w:rsidRDefault="006A6DAA" w:rsidP="006A6DAA">
            <w:pPr>
              <w:rPr>
                <w:b/>
                <w:bCs/>
                <w:color w:val="000000"/>
                <w:sz w:val="18"/>
                <w:szCs w:val="18"/>
              </w:rPr>
            </w:pPr>
            <w:r w:rsidRPr="00D1550C">
              <w:rPr>
                <w:b/>
                <w:bCs/>
                <w:color w:val="000000"/>
                <w:sz w:val="18"/>
                <w:szCs w:val="18"/>
              </w:rPr>
              <w:t>COUNTRIES OUTSIDE</w:t>
            </w:r>
          </w:p>
        </w:tc>
        <w:tc>
          <w:tcPr>
            <w:tcW w:w="851"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2 571,8</w:t>
            </w:r>
          </w:p>
        </w:tc>
        <w:tc>
          <w:tcPr>
            <w:tcW w:w="713"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49,9%</w:t>
            </w:r>
          </w:p>
        </w:tc>
        <w:tc>
          <w:tcPr>
            <w:tcW w:w="992"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588,9</w:t>
            </w:r>
          </w:p>
        </w:tc>
        <w:tc>
          <w:tcPr>
            <w:tcW w:w="713"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6,4%</w:t>
            </w:r>
          </w:p>
        </w:tc>
        <w:tc>
          <w:tcPr>
            <w:tcW w:w="1067"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3 160,8</w:t>
            </w:r>
          </w:p>
        </w:tc>
        <w:tc>
          <w:tcPr>
            <w:tcW w:w="776"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22,1%</w:t>
            </w:r>
          </w:p>
        </w:tc>
        <w:tc>
          <w:tcPr>
            <w:tcW w:w="992"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1 982,9</w:t>
            </w:r>
          </w:p>
        </w:tc>
        <w:tc>
          <w:tcPr>
            <w:tcW w:w="993" w:type="dxa"/>
            <w:gridSpan w:val="3"/>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2 447,5</w:t>
            </w:r>
          </w:p>
        </w:tc>
        <w:tc>
          <w:tcPr>
            <w:tcW w:w="850"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41,4%</w:t>
            </w:r>
          </w:p>
        </w:tc>
        <w:tc>
          <w:tcPr>
            <w:tcW w:w="992"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1 128,7</w:t>
            </w:r>
          </w:p>
        </w:tc>
        <w:tc>
          <w:tcPr>
            <w:tcW w:w="851"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9,8%</w:t>
            </w:r>
          </w:p>
        </w:tc>
        <w:tc>
          <w:tcPr>
            <w:tcW w:w="1134"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3 576,2</w:t>
            </w:r>
          </w:p>
        </w:tc>
        <w:tc>
          <w:tcPr>
            <w:tcW w:w="713"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20,5%</w:t>
            </w:r>
          </w:p>
        </w:tc>
        <w:tc>
          <w:tcPr>
            <w:tcW w:w="894"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1 318,8</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 xml:space="preserve">UNITED KINGDOM </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color w:val="000000"/>
                <w:sz w:val="20"/>
                <w:szCs w:val="20"/>
              </w:rPr>
              <w:t>2 125,2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41,3%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color w:val="000000"/>
                <w:sz w:val="20"/>
                <w:szCs w:val="20"/>
              </w:rPr>
              <w:t>10,3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i/>
                <w:iCs/>
                <w:color w:val="000000"/>
                <w:sz w:val="20"/>
                <w:szCs w:val="20"/>
              </w:rPr>
              <w:t>2 135,5</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14,9%</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i/>
                <w:iCs/>
                <w:color w:val="000000"/>
                <w:sz w:val="20"/>
                <w:szCs w:val="20"/>
              </w:rPr>
              <w:t>2 114,9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color w:val="000000"/>
                <w:sz w:val="20"/>
                <w:szCs w:val="20"/>
              </w:rPr>
              <w:t>1 578,2</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26,7%</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color w:val="000000"/>
                <w:sz w:val="20"/>
                <w:szCs w:val="20"/>
              </w:rPr>
              <w:t>15,3</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i/>
                <w:iCs/>
                <w:color w:val="000000"/>
                <w:sz w:val="20"/>
                <w:szCs w:val="20"/>
              </w:rPr>
              <w:t>1 593,4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b/>
                <w:bCs/>
                <w:color w:val="000000"/>
                <w:sz w:val="20"/>
                <w:szCs w:val="20"/>
              </w:rPr>
            </w:pPr>
            <w:r w:rsidRPr="00D1550C">
              <w:rPr>
                <w:rFonts w:cs="Calibri"/>
                <w:i/>
                <w:iCs/>
                <w:color w:val="000000"/>
                <w:sz w:val="20"/>
                <w:szCs w:val="20"/>
              </w:rPr>
              <w:t>1 562,9</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TURKEY</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433,9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489,6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5,3%</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923,5</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6,4%</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-55,7</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845,5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1 013,2</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8,8%</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1 858,7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10,7%</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-167,7</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GEORGIA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8,3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39,4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47,7</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-31,2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45,9</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59,9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-31,9</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SWITZERLAND</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45,1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0,5%</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45,1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-45,0</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1,2</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46,9</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48,1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-45,7</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REPUBLIC OF MOLDOVA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4,1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5,2</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6,7</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9,4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3,9</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SERBIA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2,0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2,1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3,3</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-3,2</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NORWAY</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-1,1</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-0,8</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BOSNIA AND HERZEGOVINA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0,4</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LIECHTENSTEIN</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0,4</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-0,4</w:t>
            </w:r>
          </w:p>
        </w:tc>
      </w:tr>
      <w:tr w:rsidR="006A6DAA" w:rsidRPr="00D1550C" w:rsidTr="00E04211">
        <w:trPr>
          <w:gridAfter w:val="1"/>
          <w:wAfter w:w="53" w:type="dxa"/>
          <w:trHeight w:val="283"/>
        </w:trPr>
        <w:tc>
          <w:tcPr>
            <w:tcW w:w="2494" w:type="dxa"/>
            <w:tcBorders>
              <w:top w:val="nil"/>
              <w:left w:val="single" w:sz="4" w:space="0" w:color="5B9BD5"/>
              <w:bottom w:val="single" w:sz="4" w:space="0" w:color="5B9BD5"/>
              <w:right w:val="single" w:sz="4" w:space="0" w:color="5B9BD5"/>
            </w:tcBorders>
            <w:shd w:val="clear" w:color="auto" w:fill="auto"/>
            <w:noWrap/>
            <w:vAlign w:val="bottom"/>
            <w:hideMark/>
          </w:tcPr>
          <w:p w:rsidR="006A6DAA" w:rsidRPr="00D1550C" w:rsidRDefault="006A6DAA" w:rsidP="006A6DAA">
            <w:pPr>
              <w:rPr>
                <w:color w:val="000000"/>
                <w:sz w:val="18"/>
                <w:szCs w:val="18"/>
              </w:rPr>
            </w:pPr>
            <w:r w:rsidRPr="00D1550C">
              <w:rPr>
                <w:color w:val="000000"/>
                <w:sz w:val="18"/>
                <w:szCs w:val="18"/>
              </w:rPr>
              <w:t>ALBANIA</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1,4</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color w:val="000000"/>
                <w:sz w:val="20"/>
                <w:szCs w:val="20"/>
              </w:rPr>
            </w:pPr>
            <w:r w:rsidRPr="00D1550C">
              <w:rPr>
                <w:rFonts w:cs="Calibri"/>
                <w:color w:val="000000"/>
                <w:sz w:val="20"/>
                <w:szCs w:val="20"/>
              </w:rPr>
              <w:t>0,0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6A6DAA" w:rsidRPr="00D1550C" w:rsidRDefault="006A6DAA" w:rsidP="006A6DAA">
            <w:pPr>
              <w:jc w:val="center"/>
              <w:rPr>
                <w:rFonts w:cs="Calibri"/>
                <w:i/>
                <w:iCs/>
                <w:color w:val="000000"/>
                <w:sz w:val="20"/>
                <w:szCs w:val="20"/>
              </w:rPr>
            </w:pPr>
            <w:r w:rsidRPr="00D1550C">
              <w:rPr>
                <w:rFonts w:cs="Calibri"/>
                <w:i/>
                <w:iCs/>
                <w:color w:val="000000"/>
                <w:sz w:val="20"/>
                <w:szCs w:val="20"/>
              </w:rPr>
              <w:t>1,4</w:t>
            </w:r>
          </w:p>
        </w:tc>
      </w:tr>
      <w:tr w:rsidR="006A6DAA" w:rsidRPr="00D1550C" w:rsidTr="000609A8">
        <w:trPr>
          <w:trHeight w:val="340"/>
        </w:trPr>
        <w:tc>
          <w:tcPr>
            <w:tcW w:w="2547" w:type="dxa"/>
            <w:gridSpan w:val="2"/>
            <w:tcBorders>
              <w:top w:val="nil"/>
              <w:left w:val="single" w:sz="4" w:space="0" w:color="5B9BD5"/>
              <w:bottom w:val="single" w:sz="4" w:space="0" w:color="5B9BD5"/>
              <w:right w:val="single" w:sz="4" w:space="0" w:color="5B9BD5"/>
            </w:tcBorders>
            <w:shd w:val="clear" w:color="000000" w:fill="BDD7EE"/>
            <w:noWrap/>
            <w:vAlign w:val="bottom"/>
            <w:hideMark/>
          </w:tcPr>
          <w:p w:rsidR="006A6DAA" w:rsidRPr="00D1550C" w:rsidRDefault="006A6DAA" w:rsidP="006A6DAA">
            <w:pPr>
              <w:rPr>
                <w:b/>
                <w:bCs/>
                <w:color w:val="000000"/>
                <w:sz w:val="18"/>
                <w:szCs w:val="18"/>
              </w:rPr>
            </w:pPr>
            <w:r w:rsidRPr="00D1550C">
              <w:rPr>
                <w:b/>
                <w:bCs/>
                <w:color w:val="000000"/>
                <w:sz w:val="18"/>
                <w:szCs w:val="18"/>
              </w:rPr>
              <w:t>OTHER COUNTRIES</w:t>
            </w:r>
          </w:p>
        </w:tc>
        <w:tc>
          <w:tcPr>
            <w:tcW w:w="851"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59,1</w:t>
            </w:r>
          </w:p>
        </w:tc>
        <w:tc>
          <w:tcPr>
            <w:tcW w:w="713"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1,1%</w:t>
            </w:r>
          </w:p>
        </w:tc>
        <w:tc>
          <w:tcPr>
            <w:tcW w:w="992"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162,2</w:t>
            </w:r>
          </w:p>
        </w:tc>
        <w:tc>
          <w:tcPr>
            <w:tcW w:w="713"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1,8%</w:t>
            </w:r>
          </w:p>
        </w:tc>
        <w:tc>
          <w:tcPr>
            <w:tcW w:w="1067"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221,3</w:t>
            </w:r>
          </w:p>
        </w:tc>
        <w:tc>
          <w:tcPr>
            <w:tcW w:w="776"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1,5%</w:t>
            </w:r>
          </w:p>
        </w:tc>
        <w:tc>
          <w:tcPr>
            <w:tcW w:w="992"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-103,0</w:t>
            </w:r>
          </w:p>
        </w:tc>
        <w:tc>
          <w:tcPr>
            <w:tcW w:w="993" w:type="dxa"/>
            <w:gridSpan w:val="3"/>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147,8</w:t>
            </w:r>
          </w:p>
        </w:tc>
        <w:tc>
          <w:tcPr>
            <w:tcW w:w="850"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2,5%</w:t>
            </w:r>
          </w:p>
        </w:tc>
        <w:tc>
          <w:tcPr>
            <w:tcW w:w="992"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459,9</w:t>
            </w:r>
          </w:p>
        </w:tc>
        <w:tc>
          <w:tcPr>
            <w:tcW w:w="851"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4,0%</w:t>
            </w:r>
          </w:p>
        </w:tc>
        <w:tc>
          <w:tcPr>
            <w:tcW w:w="1134"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607,7</w:t>
            </w:r>
          </w:p>
        </w:tc>
        <w:tc>
          <w:tcPr>
            <w:tcW w:w="713"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i/>
                <w:iCs/>
                <w:color w:val="000000"/>
                <w:sz w:val="20"/>
              </w:rPr>
            </w:pPr>
            <w:r w:rsidRPr="00D1550C">
              <w:rPr>
                <w:rFonts w:cs="Calibri"/>
                <w:i/>
                <w:iCs/>
                <w:color w:val="000000"/>
                <w:sz w:val="20"/>
              </w:rPr>
              <w:t>3,5%</w:t>
            </w:r>
          </w:p>
        </w:tc>
        <w:tc>
          <w:tcPr>
            <w:tcW w:w="894" w:type="dxa"/>
            <w:gridSpan w:val="2"/>
            <w:tcBorders>
              <w:top w:val="nil"/>
              <w:left w:val="nil"/>
              <w:bottom w:val="single" w:sz="4" w:space="0" w:color="5B9BD5"/>
              <w:right w:val="single" w:sz="4" w:space="0" w:color="5B9BD5"/>
            </w:tcBorders>
            <w:shd w:val="clear" w:color="000000" w:fill="BDD7EE"/>
            <w:noWrap/>
            <w:vAlign w:val="center"/>
            <w:hideMark/>
          </w:tcPr>
          <w:p w:rsidR="006A6DAA" w:rsidRPr="00D1550C" w:rsidRDefault="006A6DAA" w:rsidP="006A6DAA">
            <w:pPr>
              <w:jc w:val="center"/>
              <w:rPr>
                <w:rFonts w:cs="Calibri"/>
                <w:b/>
                <w:bCs/>
                <w:color w:val="000000"/>
                <w:sz w:val="20"/>
              </w:rPr>
            </w:pPr>
            <w:r w:rsidRPr="00D1550C">
              <w:rPr>
                <w:rFonts w:cs="Calibri"/>
                <w:b/>
                <w:bCs/>
                <w:color w:val="000000"/>
                <w:sz w:val="20"/>
              </w:rPr>
              <w:t>-312,1</w:t>
            </w:r>
          </w:p>
        </w:tc>
      </w:tr>
      <w:tr w:rsidR="00E04211" w:rsidRPr="00D1550C" w:rsidTr="00452F66">
        <w:trPr>
          <w:trHeight w:val="340"/>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lastRenderedPageBreak/>
              <w:t>АҚШ</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КАНАДА</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ГОНКОНГ</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bCs/>
                <w:color w:val="000000"/>
                <w:sz w:val="20"/>
                <w:szCs w:val="20"/>
              </w:rPr>
              <w:t>59,1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bCs/>
                <w:color w:val="000000"/>
                <w:sz w:val="20"/>
                <w:szCs w:val="20"/>
              </w:rPr>
              <w:t>162,2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1,8%</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bCs/>
                <w:color w:val="000000"/>
                <w:sz w:val="20"/>
                <w:szCs w:val="20"/>
              </w:rPr>
              <w:t>221,3</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bCs/>
                <w:color w:val="000000"/>
                <w:sz w:val="20"/>
                <w:szCs w:val="20"/>
              </w:rPr>
              <w:t>-103,0</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bCs/>
                <w:color w:val="000000"/>
                <w:sz w:val="20"/>
                <w:szCs w:val="20"/>
              </w:rPr>
              <w:t>147,8</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2,5%</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bCs/>
                <w:color w:val="000000"/>
                <w:sz w:val="20"/>
                <w:szCs w:val="20"/>
              </w:rPr>
              <w:t>459,9</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4,0%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bCs/>
                <w:color w:val="000000"/>
                <w:sz w:val="20"/>
                <w:szCs w:val="20"/>
              </w:rPr>
              <w:t>607,7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3,5%</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bCs/>
                <w:color w:val="000000"/>
                <w:sz w:val="20"/>
                <w:szCs w:val="20"/>
              </w:rPr>
              <w:t>-312,1</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БРАЗИЛИЯ</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b/>
                <w:bCs/>
                <w:color w:val="000000"/>
                <w:sz w:val="20"/>
                <w:szCs w:val="20"/>
              </w:rPr>
            </w:pPr>
            <w:r w:rsidRPr="00D1550C">
              <w:rPr>
                <w:rFonts w:cs="Calibri"/>
                <w:color w:val="000000"/>
                <w:sz w:val="20"/>
                <w:szCs w:val="20"/>
              </w:rPr>
              <w:t>4,0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b/>
                <w:bCs/>
                <w:color w:val="000000"/>
                <w:sz w:val="20"/>
                <w:szCs w:val="20"/>
              </w:rPr>
            </w:pPr>
            <w:r w:rsidRPr="00D1550C">
              <w:rPr>
                <w:rFonts w:cs="Calibri"/>
                <w:color w:val="000000"/>
                <w:sz w:val="20"/>
                <w:szCs w:val="20"/>
              </w:rPr>
              <w:t>81,1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0,9%</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bCs/>
                <w:color w:val="000000"/>
                <w:sz w:val="20"/>
                <w:szCs w:val="20"/>
              </w:rPr>
            </w:pPr>
            <w:r w:rsidRPr="00D1550C">
              <w:rPr>
                <w:rFonts w:cs="Calibri"/>
                <w:i/>
                <w:iCs/>
                <w:color w:val="000000"/>
                <w:sz w:val="20"/>
                <w:szCs w:val="20"/>
              </w:rPr>
              <w:t>85,1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0,6%</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b/>
                <w:bCs/>
                <w:color w:val="000000"/>
                <w:sz w:val="20"/>
                <w:szCs w:val="20"/>
              </w:rPr>
            </w:pPr>
            <w:r w:rsidRPr="00D1550C">
              <w:rPr>
                <w:rFonts w:cs="Calibri"/>
                <w:i/>
                <w:iCs/>
                <w:color w:val="000000"/>
                <w:sz w:val="20"/>
                <w:szCs w:val="20"/>
              </w:rPr>
              <w:t>-77,2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b/>
                <w:bCs/>
                <w:color w:val="000000"/>
                <w:sz w:val="20"/>
                <w:szCs w:val="20"/>
              </w:rPr>
            </w:pPr>
            <w:r w:rsidRPr="00D1550C">
              <w:rPr>
                <w:rFonts w:cs="Calibri"/>
                <w:color w:val="000000"/>
                <w:sz w:val="20"/>
                <w:szCs w:val="20"/>
              </w:rPr>
              <w:t>7,5</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b/>
                <w:bCs/>
                <w:color w:val="000000"/>
                <w:sz w:val="20"/>
                <w:szCs w:val="20"/>
              </w:rPr>
            </w:pPr>
            <w:r w:rsidRPr="00D1550C">
              <w:rPr>
                <w:rFonts w:cs="Calibri"/>
                <w:color w:val="000000"/>
                <w:sz w:val="20"/>
                <w:szCs w:val="20"/>
              </w:rPr>
              <w:t>250,8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2,2%</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b/>
                <w:bCs/>
                <w:color w:val="000000"/>
                <w:sz w:val="20"/>
                <w:szCs w:val="20"/>
              </w:rPr>
            </w:pPr>
            <w:r w:rsidRPr="00D1550C">
              <w:rPr>
                <w:rFonts w:cs="Calibri"/>
                <w:i/>
                <w:iCs/>
                <w:color w:val="000000"/>
                <w:sz w:val="20"/>
                <w:szCs w:val="20"/>
              </w:rPr>
              <w:t>258,3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1,5%</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b/>
                <w:bCs/>
                <w:color w:val="000000"/>
                <w:sz w:val="20"/>
                <w:szCs w:val="20"/>
              </w:rPr>
            </w:pPr>
            <w:r w:rsidRPr="00D1550C">
              <w:rPr>
                <w:rFonts w:cs="Calibri"/>
                <w:i/>
                <w:iCs/>
                <w:color w:val="000000"/>
                <w:sz w:val="20"/>
                <w:szCs w:val="20"/>
              </w:rPr>
              <w:t>-243,3</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МИСР</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44,4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0,9%</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46,2</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0,3%</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42,5</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107,7</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1,8%</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4,8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112,5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0,6%</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102,9</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ЭКВАДОР</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31,3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0,3%</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31,6</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-30,9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3,3</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34,4</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37,7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0,2%</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-31,2</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АВСТРАЛИЯ</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26,0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0,3%</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26,2</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-25,9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1,8</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146,5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1,3%</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148,3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0,9%</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-144,7</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МЕКСИКА</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7,8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9,0</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6,7</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14,1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0,2%</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15,0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13,1</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ЖАНУБИЙ АФРИКА (ЖАР)</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7,8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7,8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-7,8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10,7</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10,7</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-10,7</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КЕНИЯ</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5,3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5,3</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-5,3</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-0,7</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ЯНГИ ЗЕЛАНДИЯ</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2,8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2,5</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-2,4</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МАРОКАШ</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0,8</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3,2</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0,4</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3,6</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2,8</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АРГЕНТИНА</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1,5</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-1,5</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0,2</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2,2</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-2,0</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ШРИ-ЛАНКА</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0,9</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-0,9</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1,2</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-1,2</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ПЕРУ</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1,2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1,2</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1,2</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2,1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2,1</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МАКЕДОНИЯ</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0,9</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-0,8</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ЛИВИЯ</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0,3</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0,2</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0,5</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0,8</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0,8</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-0,8</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АНГИЛЬЯ</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0,4</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0,4</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0,4</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2,0</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2,0</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2,0</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АЛЖИР</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r>
      <w:tr w:rsidR="00E04211" w:rsidRPr="00D1550C" w:rsidTr="00452F66">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ТУНИС</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0,4</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0,5</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0,4</w:t>
            </w:r>
          </w:p>
        </w:tc>
      </w:tr>
      <w:tr w:rsidR="00E04211" w:rsidRPr="00D1550C" w:rsidTr="00E04211">
        <w:trPr>
          <w:trHeight w:val="283"/>
        </w:trPr>
        <w:tc>
          <w:tcPr>
            <w:tcW w:w="2547" w:type="dxa"/>
            <w:gridSpan w:val="2"/>
            <w:tcBorders>
              <w:top w:val="nil"/>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ЧИЛИ</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776"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993" w:type="dxa"/>
            <w:gridSpan w:val="3"/>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850"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1"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713"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nil"/>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r>
      <w:tr w:rsidR="00E04211" w:rsidRPr="00D1550C" w:rsidTr="00E04211">
        <w:trPr>
          <w:trHeight w:val="283"/>
        </w:trPr>
        <w:tc>
          <w:tcPr>
            <w:tcW w:w="254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E04211" w:rsidRPr="00461B09" w:rsidRDefault="00E04211" w:rsidP="00E04211">
            <w:pPr>
              <w:rPr>
                <w:rFonts w:cs="Calibri"/>
                <w:color w:val="000000"/>
                <w:sz w:val="18"/>
                <w:szCs w:val="18"/>
                <w:lang w:val="ru-RU"/>
              </w:rPr>
            </w:pPr>
            <w:r w:rsidRPr="00461B09">
              <w:rPr>
                <w:rFonts w:cs="Calibri"/>
                <w:color w:val="000000"/>
                <w:sz w:val="18"/>
                <w:szCs w:val="18"/>
                <w:lang w:val="ru-RU"/>
              </w:rPr>
              <w:t>БРИТАН. ТЕРРИТ. В ИНД. ОКЕАНЕ</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0,2</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0,2</w:t>
            </w:r>
          </w:p>
        </w:tc>
        <w:tc>
          <w:tcPr>
            <w:tcW w:w="776"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0,2</w:t>
            </w:r>
          </w:p>
        </w:tc>
        <w:tc>
          <w:tcPr>
            <w:tcW w:w="993" w:type="dxa"/>
            <w:gridSpan w:val="3"/>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850"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r>
      <w:tr w:rsidR="00E04211" w:rsidRPr="00D1550C" w:rsidTr="00E04211">
        <w:trPr>
          <w:trHeight w:val="283"/>
        </w:trPr>
        <w:tc>
          <w:tcPr>
            <w:tcW w:w="254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E04211" w:rsidRPr="00D1550C" w:rsidRDefault="00E04211" w:rsidP="00E04211">
            <w:pPr>
              <w:rPr>
                <w:rFonts w:cs="Calibri"/>
                <w:color w:val="000000"/>
                <w:sz w:val="18"/>
                <w:szCs w:val="18"/>
              </w:rPr>
            </w:pPr>
            <w:r w:rsidRPr="00D1550C">
              <w:rPr>
                <w:rFonts w:cs="Calibri"/>
                <w:color w:val="000000"/>
                <w:sz w:val="18"/>
                <w:szCs w:val="18"/>
              </w:rPr>
              <w:t>ПАРАГВАЙ</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776"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3" w:type="dxa"/>
            <w:gridSpan w:val="3"/>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0"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r>
      <w:tr w:rsidR="00E04211" w:rsidRPr="00D1550C" w:rsidTr="00E04211">
        <w:trPr>
          <w:trHeight w:val="283"/>
        </w:trPr>
        <w:tc>
          <w:tcPr>
            <w:tcW w:w="254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04211" w:rsidRPr="00D1550C" w:rsidRDefault="00E04211" w:rsidP="00E04211">
            <w:pPr>
              <w:rPr>
                <w:rFonts w:cs="Calibri"/>
                <w:color w:val="000000"/>
                <w:sz w:val="18"/>
                <w:szCs w:val="18"/>
              </w:rPr>
            </w:pPr>
            <w:r w:rsidRPr="00D1550C">
              <w:rPr>
                <w:rFonts w:cs="Calibri"/>
                <w:color w:val="000000"/>
                <w:sz w:val="18"/>
                <w:szCs w:val="18"/>
              </w:rPr>
              <w:t>ЗИМБАБВЕ</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776"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3" w:type="dxa"/>
            <w:gridSpan w:val="3"/>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0"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2,5</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2,5</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-2,5</w:t>
            </w:r>
          </w:p>
        </w:tc>
      </w:tr>
      <w:tr w:rsidR="00E04211" w:rsidRPr="00D1550C" w:rsidTr="00E04211">
        <w:trPr>
          <w:trHeight w:val="283"/>
        </w:trPr>
        <w:tc>
          <w:tcPr>
            <w:tcW w:w="254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04211" w:rsidRPr="00D1550C" w:rsidRDefault="00E04211" w:rsidP="00E04211">
            <w:pPr>
              <w:rPr>
                <w:rFonts w:cs="Calibri"/>
                <w:color w:val="000000"/>
                <w:sz w:val="18"/>
                <w:szCs w:val="18"/>
              </w:rPr>
            </w:pPr>
            <w:r w:rsidRPr="00D1550C">
              <w:rPr>
                <w:rFonts w:cs="Calibri"/>
                <w:color w:val="000000"/>
                <w:sz w:val="18"/>
                <w:szCs w:val="18"/>
              </w:rPr>
              <w:t>СУРИНАМ</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0,1</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776"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0,1</w:t>
            </w:r>
          </w:p>
        </w:tc>
        <w:tc>
          <w:tcPr>
            <w:tcW w:w="993" w:type="dxa"/>
            <w:gridSpan w:val="3"/>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0,5</w:t>
            </w:r>
          </w:p>
        </w:tc>
        <w:tc>
          <w:tcPr>
            <w:tcW w:w="850"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0,5</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0,4</w:t>
            </w:r>
          </w:p>
        </w:tc>
      </w:tr>
      <w:tr w:rsidR="00E04211" w:rsidRPr="00D1550C" w:rsidTr="00E04211">
        <w:trPr>
          <w:trHeight w:val="283"/>
        </w:trPr>
        <w:tc>
          <w:tcPr>
            <w:tcW w:w="254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04211" w:rsidRPr="00D1550C" w:rsidRDefault="00E04211" w:rsidP="00E04211">
            <w:pPr>
              <w:rPr>
                <w:rFonts w:cs="Calibri"/>
                <w:color w:val="000000"/>
                <w:sz w:val="18"/>
                <w:szCs w:val="18"/>
              </w:rPr>
            </w:pPr>
            <w:r w:rsidRPr="00D1550C">
              <w:rPr>
                <w:rFonts w:cs="Calibri"/>
                <w:color w:val="000000"/>
                <w:sz w:val="18"/>
                <w:szCs w:val="18"/>
              </w:rPr>
              <w:t>БЕРМУДЫ</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067"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776"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w:t>
            </w:r>
          </w:p>
        </w:tc>
        <w:tc>
          <w:tcPr>
            <w:tcW w:w="993" w:type="dxa"/>
            <w:gridSpan w:val="3"/>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0"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color w:val="000000"/>
                <w:sz w:val="20"/>
                <w:szCs w:val="20"/>
              </w:rPr>
            </w:pPr>
            <w:r w:rsidRPr="00D1550C">
              <w:rPr>
                <w:rFonts w:cs="Calibri"/>
                <w:color w:val="000000"/>
                <w:sz w:val="20"/>
                <w:szCs w:val="20"/>
              </w:rPr>
              <w:t>0,3</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1134"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0,3</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0,0%</w:t>
            </w:r>
          </w:p>
        </w:tc>
        <w:tc>
          <w:tcPr>
            <w:tcW w:w="894" w:type="dxa"/>
            <w:gridSpan w:val="2"/>
            <w:tcBorders>
              <w:top w:val="single" w:sz="4" w:space="0" w:color="5B9BD5"/>
              <w:left w:val="nil"/>
              <w:bottom w:val="single" w:sz="4" w:space="0" w:color="5B9BD5"/>
              <w:right w:val="single" w:sz="4" w:space="0" w:color="5B9BD5"/>
            </w:tcBorders>
            <w:shd w:val="clear" w:color="auto" w:fill="auto"/>
            <w:noWrap/>
            <w:vAlign w:val="center"/>
          </w:tcPr>
          <w:p w:rsidR="00E04211" w:rsidRPr="00D1550C" w:rsidRDefault="00E04211" w:rsidP="00E04211">
            <w:pPr>
              <w:jc w:val="center"/>
              <w:rPr>
                <w:rFonts w:cs="Calibri"/>
                <w:i/>
                <w:iCs/>
                <w:color w:val="000000"/>
                <w:sz w:val="20"/>
                <w:szCs w:val="20"/>
              </w:rPr>
            </w:pPr>
            <w:r w:rsidRPr="00D1550C">
              <w:rPr>
                <w:rFonts w:cs="Calibri"/>
                <w:i/>
                <w:iCs/>
                <w:color w:val="000000"/>
                <w:sz w:val="20"/>
                <w:szCs w:val="20"/>
              </w:rPr>
              <w:t>-0,3</w:t>
            </w:r>
          </w:p>
        </w:tc>
      </w:tr>
      <w:tr w:rsidR="00E04211" w:rsidRPr="00D1550C" w:rsidTr="00452F66">
        <w:trPr>
          <w:trHeight w:val="283"/>
        </w:trPr>
        <w:tc>
          <w:tcPr>
            <w:tcW w:w="254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E04211" w:rsidRPr="00D1550C" w:rsidRDefault="00E04211" w:rsidP="00E04211">
            <w:pPr>
              <w:rPr>
                <w:rFonts w:cs="Calibri"/>
                <w:color w:val="000000"/>
                <w:sz w:val="18"/>
                <w:szCs w:val="18"/>
              </w:rPr>
            </w:pPr>
            <w:r w:rsidRPr="00D1550C">
              <w:rPr>
                <w:rFonts w:cs="Calibri"/>
                <w:color w:val="000000"/>
                <w:sz w:val="18"/>
                <w:szCs w:val="18"/>
              </w:rPr>
              <w:t>ВЕНЕСУЭЛА</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1067"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776"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993" w:type="dxa"/>
            <w:gridSpan w:val="3"/>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0,6</w:t>
            </w:r>
          </w:p>
        </w:tc>
        <w:tc>
          <w:tcPr>
            <w:tcW w:w="850"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992"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w:t>
            </w:r>
          </w:p>
        </w:tc>
        <w:tc>
          <w:tcPr>
            <w:tcW w:w="851"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1134"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0,6</w:t>
            </w:r>
          </w:p>
        </w:tc>
        <w:tc>
          <w:tcPr>
            <w:tcW w:w="713"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0,0%</w:t>
            </w:r>
          </w:p>
        </w:tc>
        <w:tc>
          <w:tcPr>
            <w:tcW w:w="894" w:type="dxa"/>
            <w:gridSpan w:val="2"/>
            <w:tcBorders>
              <w:top w:val="single" w:sz="4" w:space="0" w:color="5B9BD5"/>
              <w:left w:val="nil"/>
              <w:bottom w:val="single" w:sz="4" w:space="0" w:color="5B9BD5"/>
              <w:right w:val="single" w:sz="4" w:space="0" w:color="5B9BD5"/>
            </w:tcBorders>
            <w:shd w:val="clear" w:color="auto" w:fill="auto"/>
            <w:noWrap/>
            <w:vAlign w:val="bottom"/>
          </w:tcPr>
          <w:p w:rsidR="00E04211" w:rsidRPr="00D1550C" w:rsidRDefault="00E04211" w:rsidP="00E04211">
            <w:pPr>
              <w:jc w:val="center"/>
              <w:rPr>
                <w:rFonts w:cs="Calibri"/>
                <w:color w:val="000000"/>
                <w:sz w:val="20"/>
                <w:szCs w:val="20"/>
              </w:rPr>
            </w:pPr>
            <w:r w:rsidRPr="00D1550C">
              <w:rPr>
                <w:rFonts w:cs="Calibri"/>
                <w:color w:val="000000"/>
                <w:sz w:val="20"/>
                <w:szCs w:val="20"/>
              </w:rPr>
              <w:t>0,6</w:t>
            </w:r>
          </w:p>
        </w:tc>
      </w:tr>
    </w:tbl>
    <w:p w:rsidR="008E63FA" w:rsidRPr="00D1550C" w:rsidRDefault="008E63FA" w:rsidP="00F159FA">
      <w:pPr>
        <w:ind w:right="-314"/>
        <w:contextualSpacing/>
        <w:jc w:val="right"/>
        <w:rPr>
          <w:i/>
          <w:sz w:val="20"/>
          <w:szCs w:val="20"/>
        </w:rPr>
      </w:pPr>
    </w:p>
    <w:p w:rsidR="00951B5C" w:rsidRPr="00D1550C" w:rsidRDefault="004F40DD" w:rsidP="0036584D">
      <w:pPr>
        <w:tabs>
          <w:tab w:val="left" w:pos="1428"/>
        </w:tabs>
        <w:contextualSpacing/>
        <w:rPr>
          <w:rFonts w:cs="Arial"/>
          <w:i/>
        </w:rPr>
      </w:pPr>
      <w:r w:rsidRPr="00D1550C">
        <w:rPr>
          <w:i/>
          <w:iCs/>
          <w:color w:val="000000"/>
          <w:sz w:val="20"/>
          <w:szCs w:val="20"/>
        </w:rPr>
        <w:t>*</w:t>
      </w:r>
      <w:r w:rsidRPr="00D1550C">
        <w:rPr>
          <w:rFonts w:cs="Calibri"/>
          <w:i/>
          <w:iCs/>
          <w:color w:val="000000"/>
          <w:sz w:val="20"/>
        </w:rPr>
        <w:t xml:space="preserve"> without adjustments for C</w:t>
      </w:r>
      <w:r w:rsidR="005D5DBF" w:rsidRPr="00D1550C">
        <w:rPr>
          <w:rFonts w:cs="Calibri"/>
          <w:i/>
          <w:iCs/>
          <w:color w:val="000000"/>
          <w:sz w:val="20"/>
        </w:rPr>
        <w:t>IP / FOB, shuttle export / import and goods purchased in ports</w:t>
      </w:r>
      <w:r w:rsidR="005D5DBF" w:rsidRPr="00D1550C">
        <w:rPr>
          <w:rFonts w:cs="Calibri"/>
          <w:i/>
          <w:sz w:val="16"/>
          <w:szCs w:val="20"/>
        </w:rPr>
        <w:t xml:space="preserve"> </w:t>
      </w:r>
      <w:r w:rsidR="005D5DBF" w:rsidRPr="00D1550C">
        <w:rPr>
          <w:rFonts w:cs="Calibri"/>
          <w:i/>
          <w:sz w:val="14"/>
          <w:szCs w:val="18"/>
        </w:rPr>
        <w:t xml:space="preserve"> </w:t>
      </w:r>
    </w:p>
    <w:p w:rsidR="008C3B97" w:rsidRPr="00D1550C" w:rsidRDefault="008C3B97" w:rsidP="008E63FA">
      <w:pPr>
        <w:shd w:val="clear" w:color="auto" w:fill="FFFF00"/>
        <w:jc w:val="right"/>
        <w:rPr>
          <w:rFonts w:cs="Arial"/>
        </w:rPr>
        <w:sectPr w:rsidR="008C3B97" w:rsidRPr="00D1550C" w:rsidSect="00097A78">
          <w:pgSz w:w="16838" w:h="11906" w:orient="landscape"/>
          <w:pgMar w:top="1134" w:right="1134" w:bottom="707" w:left="1134" w:header="709" w:footer="709" w:gutter="0"/>
          <w:cols w:space="708"/>
          <w:docGrid w:linePitch="360"/>
        </w:sectPr>
      </w:pPr>
    </w:p>
    <w:p w:rsidR="009304D9" w:rsidRPr="00D1550C" w:rsidRDefault="009304D9" w:rsidP="00910239">
      <w:pPr>
        <w:jc w:val="right"/>
        <w:rPr>
          <w:i/>
          <w:sz w:val="22"/>
          <w:szCs w:val="22"/>
        </w:rPr>
      </w:pPr>
      <w:r w:rsidRPr="00D1550C">
        <w:rPr>
          <w:i/>
          <w:sz w:val="22"/>
          <w:szCs w:val="22"/>
        </w:rPr>
        <w:lastRenderedPageBreak/>
        <w:t xml:space="preserve">Addenda </w:t>
      </w:r>
      <w:r w:rsidR="00D410A3" w:rsidRPr="00D1550C">
        <w:rPr>
          <w:i/>
          <w:sz w:val="22"/>
          <w:szCs w:val="22"/>
        </w:rPr>
        <w:t>8</w:t>
      </w:r>
    </w:p>
    <w:p w:rsidR="009304D9" w:rsidRPr="00D1550C" w:rsidRDefault="009304D9" w:rsidP="00910239">
      <w:pPr>
        <w:pStyle w:val="1"/>
        <w:ind w:left="0"/>
        <w:jc w:val="center"/>
        <w:rPr>
          <w:rFonts w:ascii="Calibri" w:hAnsi="Calibri" w:cs="Calibri"/>
          <w:sz w:val="24"/>
          <w:szCs w:val="24"/>
          <w:lang w:val="en-US"/>
        </w:rPr>
      </w:pPr>
      <w:bookmarkStart w:id="31" w:name="_Toc83291135"/>
      <w:bookmarkStart w:id="32" w:name="_Toc19615962"/>
      <w:r w:rsidRPr="00D1550C">
        <w:rPr>
          <w:rFonts w:ascii="Calibri" w:hAnsi="Calibri" w:cs="Calibri"/>
          <w:sz w:val="24"/>
          <w:szCs w:val="24"/>
          <w:lang w:val="en-US"/>
        </w:rPr>
        <w:t xml:space="preserve">EXTENDED CLASSIFICATION OF BALANCE OF INTERNATIONAL SERVICES </w:t>
      </w:r>
      <w:r w:rsidR="00B7276D" w:rsidRPr="00D1550C">
        <w:rPr>
          <w:rFonts w:ascii="Calibri" w:hAnsi="Calibri" w:cs="Calibri"/>
          <w:sz w:val="24"/>
          <w:szCs w:val="24"/>
          <w:lang w:val="en-US"/>
        </w:rPr>
        <w:t xml:space="preserve">FOR </w:t>
      </w:r>
      <w:r w:rsidRPr="00D1550C">
        <w:rPr>
          <w:rFonts w:ascii="Calibri" w:hAnsi="Calibri" w:cs="Calibri"/>
          <w:sz w:val="24"/>
          <w:szCs w:val="24"/>
          <w:lang w:val="en-US"/>
        </w:rPr>
        <w:t>201</w:t>
      </w:r>
      <w:r w:rsidR="00462BEE" w:rsidRPr="00D1550C">
        <w:rPr>
          <w:rFonts w:ascii="Calibri" w:hAnsi="Calibri" w:cs="Calibri"/>
          <w:sz w:val="24"/>
          <w:szCs w:val="24"/>
          <w:lang w:val="en-US"/>
        </w:rPr>
        <w:t>9</w:t>
      </w:r>
      <w:r w:rsidR="006F37F8" w:rsidRPr="00D1550C">
        <w:rPr>
          <w:rFonts w:ascii="Calibri" w:hAnsi="Calibri" w:cs="Calibri"/>
          <w:sz w:val="24"/>
          <w:szCs w:val="24"/>
          <w:lang w:val="en-US"/>
        </w:rPr>
        <w:t>-</w:t>
      </w:r>
      <w:r w:rsidRPr="00D1550C">
        <w:rPr>
          <w:rFonts w:ascii="Calibri" w:hAnsi="Calibri" w:cs="Calibri"/>
          <w:sz w:val="24"/>
          <w:szCs w:val="24"/>
          <w:lang w:val="en-US"/>
        </w:rPr>
        <w:t>20</w:t>
      </w:r>
      <w:r w:rsidR="0002404D" w:rsidRPr="00D1550C">
        <w:rPr>
          <w:rFonts w:ascii="Calibri" w:hAnsi="Calibri" w:cs="Calibri"/>
          <w:sz w:val="24"/>
          <w:szCs w:val="24"/>
          <w:lang w:val="en-US"/>
        </w:rPr>
        <w:t>20</w:t>
      </w:r>
      <w:r w:rsidR="006F37F8" w:rsidRPr="00D1550C">
        <w:rPr>
          <w:rFonts w:ascii="Calibri" w:hAnsi="Calibri" w:cs="Calibri"/>
          <w:sz w:val="24"/>
          <w:szCs w:val="24"/>
          <w:lang w:val="en-US"/>
        </w:rPr>
        <w:t xml:space="preserve"> AND </w:t>
      </w:r>
      <w:r w:rsidR="000609A8" w:rsidRPr="00D1550C">
        <w:rPr>
          <w:rFonts w:ascii="Calibri" w:hAnsi="Calibri" w:cs="Calibri"/>
          <w:sz w:val="24"/>
          <w:szCs w:val="24"/>
          <w:lang w:val="en-US"/>
        </w:rPr>
        <w:t xml:space="preserve">FOR THE </w:t>
      </w:r>
      <w:r w:rsidR="002D3C51" w:rsidRPr="00D1550C">
        <w:rPr>
          <w:rFonts w:ascii="Calibri" w:hAnsi="Calibri" w:cs="Calibri"/>
          <w:sz w:val="24"/>
          <w:szCs w:val="24"/>
          <w:lang w:val="en-US"/>
        </w:rPr>
        <w:t>FIRST</w:t>
      </w:r>
      <w:r w:rsidR="006F37F8" w:rsidRPr="00D1550C">
        <w:rPr>
          <w:rFonts w:ascii="Calibri" w:hAnsi="Calibri" w:cs="Calibri"/>
          <w:sz w:val="24"/>
          <w:szCs w:val="24"/>
          <w:lang w:val="en-US"/>
        </w:rPr>
        <w:t xml:space="preserve"> </w:t>
      </w:r>
      <w:r w:rsidR="000609A8" w:rsidRPr="00D1550C">
        <w:rPr>
          <w:rFonts w:ascii="Calibri" w:hAnsi="Calibri" w:cs="Calibri"/>
          <w:sz w:val="24"/>
          <w:szCs w:val="24"/>
          <w:lang w:val="en-US"/>
        </w:rPr>
        <w:t>HALF</w:t>
      </w:r>
      <w:r w:rsidR="006F37F8" w:rsidRPr="00D1550C">
        <w:rPr>
          <w:rFonts w:ascii="Calibri" w:hAnsi="Calibri" w:cs="Calibri"/>
          <w:sz w:val="24"/>
          <w:szCs w:val="24"/>
          <w:lang w:val="en-US"/>
        </w:rPr>
        <w:t xml:space="preserve"> OF 2021.</w:t>
      </w:r>
      <w:bookmarkEnd w:id="31"/>
      <w:r w:rsidR="00462BEE" w:rsidRPr="00D1550C">
        <w:rPr>
          <w:rFonts w:ascii="Calibri" w:hAnsi="Calibri" w:cs="Calibri"/>
          <w:sz w:val="24"/>
          <w:szCs w:val="24"/>
          <w:lang w:val="en-US"/>
        </w:rPr>
        <w:t xml:space="preserve"> </w:t>
      </w:r>
    </w:p>
    <w:bookmarkEnd w:id="32"/>
    <w:p w:rsidR="009304D9" w:rsidRPr="00D1550C" w:rsidRDefault="009304D9" w:rsidP="00381008">
      <w:pPr>
        <w:tabs>
          <w:tab w:val="left" w:pos="1428"/>
        </w:tabs>
        <w:ind w:right="-31"/>
        <w:jc w:val="right"/>
        <w:rPr>
          <w:i/>
          <w:sz w:val="20"/>
          <w:szCs w:val="20"/>
        </w:rPr>
      </w:pPr>
      <w:r w:rsidRPr="00D1550C">
        <w:rPr>
          <w:i/>
          <w:sz w:val="20"/>
          <w:szCs w:val="20"/>
        </w:rPr>
        <w:t>(mln. USD)</w:t>
      </w:r>
    </w:p>
    <w:tbl>
      <w:tblPr>
        <w:tblW w:w="15185" w:type="dxa"/>
        <w:tblLook w:val="04A0" w:firstRow="1" w:lastRow="0" w:firstColumn="1" w:lastColumn="0" w:noHBand="0" w:noVBand="1"/>
      </w:tblPr>
      <w:tblGrid>
        <w:gridCol w:w="5665"/>
        <w:gridCol w:w="1060"/>
        <w:gridCol w:w="1060"/>
        <w:gridCol w:w="1059"/>
        <w:gridCol w:w="1059"/>
        <w:gridCol w:w="1059"/>
        <w:gridCol w:w="1043"/>
        <w:gridCol w:w="1060"/>
        <w:gridCol w:w="1060"/>
        <w:gridCol w:w="1060"/>
      </w:tblGrid>
      <w:tr w:rsidR="006007C8" w:rsidRPr="00D1550C" w:rsidTr="006007C8">
        <w:trPr>
          <w:trHeight w:val="360"/>
          <w:tblHeader/>
        </w:trPr>
        <w:tc>
          <w:tcPr>
            <w:tcW w:w="5665"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 </w:t>
            </w:r>
          </w:p>
        </w:tc>
        <w:tc>
          <w:tcPr>
            <w:tcW w:w="1060" w:type="dxa"/>
            <w:vMerge w:val="restart"/>
            <w:tcBorders>
              <w:top w:val="single" w:sz="4" w:space="0" w:color="5B9BD5"/>
              <w:left w:val="single" w:sz="4" w:space="0" w:color="5B9BD5"/>
              <w:right w:val="single" w:sz="4" w:space="0" w:color="5B9BD5"/>
            </w:tcBorders>
            <w:vAlign w:val="center"/>
          </w:tcPr>
          <w:p w:rsidR="006007C8" w:rsidRPr="00D1550C" w:rsidRDefault="006007C8" w:rsidP="000609A8">
            <w:pPr>
              <w:jc w:val="center"/>
              <w:rPr>
                <w:rFonts w:cs="Calibri"/>
                <w:color w:val="000000"/>
                <w:sz w:val="22"/>
                <w:szCs w:val="22"/>
              </w:rPr>
            </w:pPr>
            <w:r w:rsidRPr="00D1550C">
              <w:rPr>
                <w:rFonts w:cs="Calibri"/>
                <w:color w:val="000000"/>
                <w:sz w:val="22"/>
                <w:szCs w:val="22"/>
              </w:rPr>
              <w:t>2019</w:t>
            </w:r>
          </w:p>
        </w:tc>
        <w:tc>
          <w:tcPr>
            <w:tcW w:w="106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2020</w:t>
            </w:r>
          </w:p>
        </w:tc>
        <w:tc>
          <w:tcPr>
            <w:tcW w:w="4220"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2020</w:t>
            </w:r>
          </w:p>
        </w:tc>
        <w:tc>
          <w:tcPr>
            <w:tcW w:w="106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2021</w:t>
            </w:r>
          </w:p>
        </w:tc>
        <w:tc>
          <w:tcPr>
            <w:tcW w:w="2120"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2021</w:t>
            </w:r>
          </w:p>
        </w:tc>
      </w:tr>
      <w:tr w:rsidR="006007C8" w:rsidRPr="00D1550C" w:rsidTr="006007C8">
        <w:trPr>
          <w:trHeight w:val="300"/>
          <w:tblHeader/>
        </w:trPr>
        <w:tc>
          <w:tcPr>
            <w:tcW w:w="5665" w:type="dxa"/>
            <w:vMerge/>
            <w:tcBorders>
              <w:top w:val="single" w:sz="4" w:space="0" w:color="5B9BD5"/>
              <w:left w:val="single" w:sz="4" w:space="0" w:color="5B9BD5"/>
              <w:bottom w:val="single" w:sz="4" w:space="0" w:color="5B9BD5"/>
              <w:right w:val="single" w:sz="4" w:space="0" w:color="5B9BD5"/>
            </w:tcBorders>
            <w:vAlign w:val="center"/>
            <w:hideMark/>
          </w:tcPr>
          <w:p w:rsidR="006007C8" w:rsidRPr="00D1550C" w:rsidRDefault="006007C8" w:rsidP="000609A8">
            <w:pPr>
              <w:rPr>
                <w:rFonts w:cs="Calibri"/>
                <w:color w:val="000000"/>
                <w:sz w:val="22"/>
                <w:szCs w:val="22"/>
              </w:rPr>
            </w:pPr>
          </w:p>
        </w:tc>
        <w:tc>
          <w:tcPr>
            <w:tcW w:w="1060" w:type="dxa"/>
            <w:vMerge/>
            <w:tcBorders>
              <w:left w:val="single" w:sz="4" w:space="0" w:color="5B9BD5"/>
              <w:bottom w:val="single" w:sz="4" w:space="0" w:color="5B9BD5"/>
              <w:right w:val="single" w:sz="4" w:space="0" w:color="5B9BD5"/>
            </w:tcBorders>
            <w:vAlign w:val="center"/>
          </w:tcPr>
          <w:p w:rsidR="006007C8" w:rsidRPr="00D1550C" w:rsidRDefault="006007C8" w:rsidP="000609A8">
            <w:pPr>
              <w:jc w:val="center"/>
              <w:rPr>
                <w:rFonts w:cs="Calibri"/>
                <w:color w:val="000000"/>
                <w:sz w:val="22"/>
                <w:szCs w:val="22"/>
              </w:rPr>
            </w:pPr>
          </w:p>
        </w:tc>
        <w:tc>
          <w:tcPr>
            <w:tcW w:w="1060" w:type="dxa"/>
            <w:vMerge/>
            <w:tcBorders>
              <w:top w:val="single" w:sz="4" w:space="0" w:color="5B9BD5"/>
              <w:left w:val="single" w:sz="4" w:space="0" w:color="5B9BD5"/>
              <w:bottom w:val="single" w:sz="4" w:space="0" w:color="5B9BD5"/>
              <w:right w:val="single" w:sz="4" w:space="0" w:color="5B9BD5"/>
            </w:tcBorders>
            <w:vAlign w:val="center"/>
            <w:hideMark/>
          </w:tcPr>
          <w:p w:rsidR="006007C8" w:rsidRPr="00D1550C" w:rsidRDefault="006007C8" w:rsidP="000609A8">
            <w:pPr>
              <w:jc w:val="center"/>
              <w:rPr>
                <w:rFonts w:cs="Calibri"/>
                <w:color w:val="000000"/>
                <w:sz w:val="22"/>
                <w:szCs w:val="22"/>
              </w:rPr>
            </w:pPr>
          </w:p>
        </w:tc>
        <w:tc>
          <w:tcPr>
            <w:tcW w:w="1059" w:type="dxa"/>
            <w:tcBorders>
              <w:top w:val="nil"/>
              <w:left w:val="nil"/>
              <w:bottom w:val="single" w:sz="4" w:space="0" w:color="5B9BD5"/>
              <w:right w:val="single" w:sz="4" w:space="0" w:color="5B9BD5"/>
            </w:tcBorders>
            <w:shd w:val="clear" w:color="auto" w:fill="auto"/>
            <w:noWrap/>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1Q</w:t>
            </w:r>
          </w:p>
        </w:tc>
        <w:tc>
          <w:tcPr>
            <w:tcW w:w="1059" w:type="dxa"/>
            <w:tcBorders>
              <w:top w:val="nil"/>
              <w:left w:val="nil"/>
              <w:bottom w:val="single" w:sz="4" w:space="0" w:color="5B9BD5"/>
              <w:right w:val="single" w:sz="4" w:space="0" w:color="5B9BD5"/>
            </w:tcBorders>
            <w:shd w:val="clear" w:color="auto" w:fill="auto"/>
            <w:noWrap/>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2Q</w:t>
            </w:r>
          </w:p>
        </w:tc>
        <w:tc>
          <w:tcPr>
            <w:tcW w:w="1059" w:type="dxa"/>
            <w:tcBorders>
              <w:top w:val="nil"/>
              <w:left w:val="nil"/>
              <w:bottom w:val="single" w:sz="4" w:space="0" w:color="5B9BD5"/>
              <w:right w:val="single" w:sz="4" w:space="0" w:color="5B9BD5"/>
            </w:tcBorders>
            <w:shd w:val="clear" w:color="auto" w:fill="auto"/>
            <w:noWrap/>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3Q</w:t>
            </w:r>
          </w:p>
        </w:tc>
        <w:tc>
          <w:tcPr>
            <w:tcW w:w="1043" w:type="dxa"/>
            <w:tcBorders>
              <w:top w:val="nil"/>
              <w:left w:val="nil"/>
              <w:bottom w:val="single" w:sz="4" w:space="0" w:color="5B9BD5"/>
              <w:right w:val="single" w:sz="4" w:space="0" w:color="5B9BD5"/>
            </w:tcBorders>
            <w:shd w:val="clear" w:color="auto" w:fill="auto"/>
            <w:noWrap/>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4Q</w:t>
            </w:r>
          </w:p>
        </w:tc>
        <w:tc>
          <w:tcPr>
            <w:tcW w:w="1060" w:type="dxa"/>
            <w:vMerge/>
            <w:tcBorders>
              <w:top w:val="single" w:sz="4" w:space="0" w:color="5B9BD5"/>
              <w:left w:val="single" w:sz="4" w:space="0" w:color="5B9BD5"/>
              <w:bottom w:val="single" w:sz="4" w:space="0" w:color="5B9BD5"/>
              <w:right w:val="single" w:sz="4" w:space="0" w:color="5B9BD5"/>
            </w:tcBorders>
            <w:vAlign w:val="center"/>
            <w:hideMark/>
          </w:tcPr>
          <w:p w:rsidR="006007C8" w:rsidRPr="00D1550C" w:rsidRDefault="006007C8" w:rsidP="000609A8">
            <w:pPr>
              <w:jc w:val="center"/>
              <w:rPr>
                <w:rFonts w:cs="Calibri"/>
                <w:color w:val="000000"/>
                <w:sz w:val="22"/>
                <w:szCs w:val="22"/>
              </w:rPr>
            </w:pPr>
          </w:p>
        </w:tc>
        <w:tc>
          <w:tcPr>
            <w:tcW w:w="1060" w:type="dxa"/>
            <w:tcBorders>
              <w:top w:val="nil"/>
              <w:left w:val="nil"/>
              <w:bottom w:val="single" w:sz="4" w:space="0" w:color="5B9BD5"/>
              <w:right w:val="single" w:sz="4" w:space="0" w:color="5B9BD5"/>
            </w:tcBorders>
            <w:shd w:val="clear" w:color="auto" w:fill="auto"/>
            <w:noWrap/>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1Q</w:t>
            </w:r>
          </w:p>
        </w:tc>
        <w:tc>
          <w:tcPr>
            <w:tcW w:w="1060" w:type="dxa"/>
            <w:tcBorders>
              <w:top w:val="nil"/>
              <w:left w:val="nil"/>
              <w:bottom w:val="single" w:sz="4" w:space="0" w:color="5B9BD5"/>
              <w:right w:val="single" w:sz="4" w:space="0" w:color="5B9BD5"/>
            </w:tcBorders>
            <w:shd w:val="clear" w:color="auto" w:fill="auto"/>
            <w:noWrap/>
            <w:vAlign w:val="center"/>
            <w:hideMark/>
          </w:tcPr>
          <w:p w:rsidR="006007C8" w:rsidRPr="00D1550C" w:rsidRDefault="006007C8" w:rsidP="000609A8">
            <w:pPr>
              <w:jc w:val="center"/>
              <w:rPr>
                <w:rFonts w:cs="Calibri"/>
                <w:color w:val="000000"/>
                <w:sz w:val="22"/>
                <w:szCs w:val="22"/>
              </w:rPr>
            </w:pPr>
            <w:r w:rsidRPr="00D1550C">
              <w:rPr>
                <w:rFonts w:cs="Calibri"/>
                <w:color w:val="000000"/>
                <w:sz w:val="22"/>
                <w:szCs w:val="22"/>
              </w:rPr>
              <w:t>2Q</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 xml:space="preserve">Balance of international trade in services </w:t>
            </w:r>
          </w:p>
        </w:tc>
        <w:tc>
          <w:tcPr>
            <w:tcW w:w="1060" w:type="dxa"/>
            <w:tcBorders>
              <w:top w:val="single" w:sz="4" w:space="0" w:color="5B9BD5"/>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-2 266,1</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-1 811,8</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-457,9</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-371,3</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-442,5</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-540,1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-1 087,5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-420,7</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-666,8</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Services exports</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3 094,8</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1 699,5</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606,8</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315,0</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348,6</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429,1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952,5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424,3</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528,2</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975D13">
            <w:pPr>
              <w:ind w:left="314"/>
              <w:rPr>
                <w:rFonts w:cs="Calibri"/>
                <w:b/>
                <w:bCs/>
                <w:color w:val="000000"/>
              </w:rPr>
            </w:pPr>
            <w:r w:rsidRPr="00D1550C">
              <w:rPr>
                <w:rFonts w:cs="Calibri"/>
                <w:b/>
                <w:bCs/>
                <w:color w:val="000000"/>
              </w:rPr>
              <w:t>Manufacturing services on physical inputs owned by others</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11,6</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19,0</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4,1</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5,6</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7,7</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975D13">
            <w:pPr>
              <w:ind w:left="314"/>
              <w:rPr>
                <w:rFonts w:cs="Calibri"/>
                <w:b/>
                <w:bCs/>
                <w:color w:val="000000"/>
              </w:rPr>
            </w:pPr>
            <w:r w:rsidRPr="00D1550C">
              <w:rPr>
                <w:rFonts w:cs="Calibri"/>
                <w:b/>
                <w:bCs/>
                <w:color w:val="000000"/>
              </w:rPr>
              <w:t>Maintenance and repair services, not included elsewhere</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11,4</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6,9</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0,8</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9,4</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7,3</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Transport services</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1 251,9</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999,5</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295,3</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213,8</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221,4</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269,0</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556,5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269,4</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287,1</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198,2</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50,4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29,3</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201,7</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270,1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58,6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74,7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63,9</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72,9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123,1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61,4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61,8</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852,0</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679,0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204,0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137,4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154,2</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183,5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390,5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194,5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196,0</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Sea transport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Air transport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351,3</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142,8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66,0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21,8</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43,8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89,1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40,7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48,4</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194,6</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49,7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28,9</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17,7</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12,0</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13,7</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139,0</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58,4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6,5</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5,8</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Others modes of transport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896,1</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852,3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228,5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201,4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198,6</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223,8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465,4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227,8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237,5</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184,0</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235,3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54,0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68,7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51,9</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100,0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51,9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48,1</w:t>
            </w:r>
          </w:p>
        </w:tc>
      </w:tr>
      <w:tr w:rsidR="006007C8" w:rsidRPr="00D1550C" w:rsidTr="00975D13">
        <w:trPr>
          <w:trHeight w:val="340"/>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708,5</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616,2</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174,3</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132,3</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146,7</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163,0</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364,9</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175,7</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189,2</w:t>
            </w:r>
          </w:p>
        </w:tc>
      </w:tr>
      <w:tr w:rsidR="006007C8" w:rsidRPr="00D1550C" w:rsidTr="00975D13">
        <w:trPr>
          <w:trHeight w:val="340"/>
        </w:trPr>
        <w:tc>
          <w:tcPr>
            <w:tcW w:w="5665" w:type="dxa"/>
            <w:tcBorders>
              <w:top w:val="nil"/>
              <w:left w:val="single" w:sz="4" w:space="0" w:color="5B9BD5"/>
              <w:bottom w:val="single" w:sz="4" w:space="0" w:color="5B9BD5"/>
              <w:right w:val="single" w:sz="4" w:space="0" w:color="5B9BD5"/>
            </w:tcBorders>
            <w:shd w:val="clear" w:color="auto" w:fill="auto"/>
            <w:vAlign w:val="center"/>
            <w:hideMark/>
          </w:tcPr>
          <w:p w:rsidR="006007C8" w:rsidRPr="00D1550C" w:rsidRDefault="006007C8" w:rsidP="006007C8">
            <w:pPr>
              <w:ind w:firstLineChars="100" w:firstLine="240"/>
              <w:rPr>
                <w:rFonts w:cs="Calibri"/>
                <w:i/>
                <w:iCs/>
              </w:rPr>
            </w:pPr>
            <w:r w:rsidRPr="00D1550C">
              <w:rPr>
                <w:rFonts w:cs="Calibri"/>
                <w:i/>
                <w:iCs/>
              </w:rPr>
              <w:t>Expanded classification of modes of transport</w:t>
            </w:r>
          </w:p>
        </w:tc>
        <w:tc>
          <w:tcPr>
            <w:tcW w:w="1060" w:type="dxa"/>
            <w:tcBorders>
              <w:top w:val="nil"/>
              <w:left w:val="nil"/>
              <w:bottom w:val="single" w:sz="4" w:space="0" w:color="5B9BD5"/>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nil"/>
              <w:left w:val="single" w:sz="4" w:space="0" w:color="5B9BD5"/>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43"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r>
      <w:tr w:rsidR="006007C8" w:rsidRPr="00D1550C" w:rsidTr="00975D13">
        <w:trPr>
          <w:trHeight w:val="340"/>
        </w:trPr>
        <w:tc>
          <w:tcPr>
            <w:tcW w:w="5665" w:type="dxa"/>
            <w:tcBorders>
              <w:top w:val="single" w:sz="4" w:space="0" w:color="5B9BD5"/>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lastRenderedPageBreak/>
              <w:t xml:space="preserve">Railway transport  </w:t>
            </w:r>
          </w:p>
        </w:tc>
        <w:tc>
          <w:tcPr>
            <w:tcW w:w="1060" w:type="dxa"/>
            <w:tcBorders>
              <w:top w:val="single" w:sz="4" w:space="0" w:color="5B9BD5"/>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174,9</w:t>
            </w:r>
          </w:p>
        </w:tc>
        <w:tc>
          <w:tcPr>
            <w:tcW w:w="1060" w:type="dxa"/>
            <w:tcBorders>
              <w:top w:val="single" w:sz="4" w:space="0" w:color="5B9BD5"/>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215,6</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50,6</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62,9</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45,3</w:t>
            </w:r>
          </w:p>
        </w:tc>
        <w:tc>
          <w:tcPr>
            <w:tcW w:w="1043"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56,8</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91,6</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47,3</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44,2</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r>
      <w:tr w:rsidR="006007C8" w:rsidRPr="00D1550C" w:rsidTr="00975D13">
        <w:trPr>
          <w:trHeight w:val="315"/>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Freight</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165,7</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209,0</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49,3</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60,8</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44,1</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54,8</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88,3</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46,2</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42,1</w:t>
            </w:r>
          </w:p>
        </w:tc>
      </w:tr>
      <w:tr w:rsidR="006007C8" w:rsidRPr="00D1550C" w:rsidTr="00975D13">
        <w:trPr>
          <w:trHeight w:val="315"/>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Other</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6,3</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6,1</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r>
      <w:tr w:rsidR="006007C8" w:rsidRPr="00D1550C" w:rsidTr="00975D13">
        <w:trPr>
          <w:trHeight w:val="315"/>
        </w:trPr>
        <w:tc>
          <w:tcPr>
            <w:tcW w:w="5665" w:type="dxa"/>
            <w:tcBorders>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Road transport</w:t>
            </w:r>
          </w:p>
        </w:tc>
        <w:tc>
          <w:tcPr>
            <w:tcW w:w="1060" w:type="dxa"/>
            <w:tcBorders>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22,1</w:t>
            </w:r>
          </w:p>
        </w:tc>
        <w:tc>
          <w:tcPr>
            <w:tcW w:w="1060" w:type="dxa"/>
            <w:tcBorders>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27,8</w:t>
            </w:r>
          </w:p>
        </w:tc>
        <w:tc>
          <w:tcPr>
            <w:tcW w:w="1059"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w:t>
            </w:r>
          </w:p>
        </w:tc>
        <w:tc>
          <w:tcPr>
            <w:tcW w:w="1059"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8,3</w:t>
            </w:r>
          </w:p>
        </w:tc>
        <w:tc>
          <w:tcPr>
            <w:tcW w:w="1059"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8,6</w:t>
            </w:r>
          </w:p>
        </w:tc>
        <w:tc>
          <w:tcPr>
            <w:tcW w:w="1043"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6,2</w:t>
            </w:r>
          </w:p>
        </w:tc>
        <w:tc>
          <w:tcPr>
            <w:tcW w:w="1060"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12,8</w:t>
            </w:r>
          </w:p>
        </w:tc>
        <w:tc>
          <w:tcPr>
            <w:tcW w:w="1060"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6,2</w:t>
            </w:r>
          </w:p>
        </w:tc>
        <w:tc>
          <w:tcPr>
            <w:tcW w:w="1060"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6,6</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0,7</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18,2</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7,8</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0,7</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Pipeline</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650,6</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575,5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162,1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124,4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137,9</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151,1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344,1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165,3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178,7</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 modes of transport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48,5</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6,7</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8,0</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975D13">
            <w:pPr>
              <w:ind w:leftChars="-1" w:left="-2" w:firstLineChars="485" w:firstLine="1164"/>
              <w:rPr>
                <w:rFonts w:cs="Calibri"/>
                <w:color w:val="000000"/>
              </w:rPr>
            </w:pPr>
            <w:r w:rsidRPr="00D1550C">
              <w:rPr>
                <w:rFonts w:cs="Calibri"/>
                <w:color w:val="000000"/>
              </w:rPr>
              <w:t>Other related or ancillary transport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48,5</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6,7</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8,0</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Postal and courier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Travel</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1 480,6</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345,0</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238,6</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17,1</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32,4</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56,9</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212,9</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74,4</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138,6</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Business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23,8</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10,4</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13,7</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Personal</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1 456,8</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302,5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228,5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22,0</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186,6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61,7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124,9</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health-related</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0,7</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education-related</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10,1</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1 442,6</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291,9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224,9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20,0</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41,8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180,3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58,4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122,0</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Construction</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50,3</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44,8</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10,6</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11,1</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8,4</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14,8</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12,6</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Construction abroad</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Construction in Uzbekistan</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50,3</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8,4</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 xml:space="preserve"> Insurance and pension services</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7,4</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17,2</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11,4</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12,4</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9,6</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 xml:space="preserve">Direct insurance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6,4</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9,5</w:t>
            </w:r>
          </w:p>
        </w:tc>
      </w:tr>
      <w:tr w:rsidR="006007C8" w:rsidRPr="00D1550C" w:rsidTr="00975D13">
        <w:trPr>
          <w:trHeight w:val="95"/>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 xml:space="preserve">Reinsurance </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r>
      <w:tr w:rsidR="006007C8" w:rsidRPr="00D1550C" w:rsidTr="00975D13">
        <w:trPr>
          <w:trHeight w:val="397"/>
        </w:trPr>
        <w:tc>
          <w:tcPr>
            <w:tcW w:w="5665" w:type="dxa"/>
            <w:tcBorders>
              <w:top w:val="nil"/>
              <w:left w:val="single" w:sz="4" w:space="0" w:color="5B9BD5"/>
              <w:bottom w:val="single" w:sz="4" w:space="0" w:color="5B9BD5"/>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Auxiliary insurance services</w:t>
            </w:r>
          </w:p>
        </w:tc>
        <w:tc>
          <w:tcPr>
            <w:tcW w:w="1060" w:type="dxa"/>
            <w:tcBorders>
              <w:top w:val="nil"/>
              <w:left w:val="nil"/>
              <w:bottom w:val="single" w:sz="4" w:space="0" w:color="5B9BD5"/>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454"/>
        </w:trPr>
        <w:tc>
          <w:tcPr>
            <w:tcW w:w="5665" w:type="dxa"/>
            <w:tcBorders>
              <w:top w:val="single" w:sz="4" w:space="0" w:color="5B9BD5"/>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27" w:firstLine="305"/>
              <w:rPr>
                <w:rFonts w:cs="Calibri"/>
                <w:b/>
                <w:bCs/>
                <w:color w:val="000000"/>
              </w:rPr>
            </w:pPr>
            <w:r w:rsidRPr="00D1550C">
              <w:rPr>
                <w:rFonts w:cs="Calibri"/>
                <w:b/>
                <w:bCs/>
                <w:color w:val="000000"/>
              </w:rPr>
              <w:t>Financial services</w:t>
            </w:r>
          </w:p>
        </w:tc>
        <w:tc>
          <w:tcPr>
            <w:tcW w:w="1060" w:type="dxa"/>
            <w:tcBorders>
              <w:top w:val="single" w:sz="4" w:space="0" w:color="5B9BD5"/>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29,6</w:t>
            </w:r>
          </w:p>
        </w:tc>
        <w:tc>
          <w:tcPr>
            <w:tcW w:w="1060" w:type="dxa"/>
            <w:tcBorders>
              <w:top w:val="single" w:sz="4" w:space="0" w:color="5B9BD5"/>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20,9</w:t>
            </w:r>
          </w:p>
        </w:tc>
        <w:tc>
          <w:tcPr>
            <w:tcW w:w="1059"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4,1</w:t>
            </w:r>
          </w:p>
        </w:tc>
        <w:tc>
          <w:tcPr>
            <w:tcW w:w="1059"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w:t>
            </w:r>
          </w:p>
        </w:tc>
        <w:tc>
          <w:tcPr>
            <w:tcW w:w="1059"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5,5</w:t>
            </w:r>
          </w:p>
        </w:tc>
        <w:tc>
          <w:tcPr>
            <w:tcW w:w="1043"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6,9</w:t>
            </w:r>
          </w:p>
        </w:tc>
        <w:tc>
          <w:tcPr>
            <w:tcW w:w="1060"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12,5</w:t>
            </w:r>
          </w:p>
        </w:tc>
        <w:tc>
          <w:tcPr>
            <w:tcW w:w="1060"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5,3</w:t>
            </w:r>
          </w:p>
        </w:tc>
        <w:tc>
          <w:tcPr>
            <w:tcW w:w="1060"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7,2</w:t>
            </w:r>
          </w:p>
        </w:tc>
      </w:tr>
      <w:tr w:rsidR="006007C8" w:rsidRPr="00D1550C" w:rsidTr="00975D13">
        <w:trPr>
          <w:trHeight w:val="454"/>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left="306"/>
              <w:rPr>
                <w:rFonts w:cs="Calibri"/>
                <w:b/>
                <w:bCs/>
                <w:color w:val="000000"/>
              </w:rPr>
            </w:pPr>
            <w:r w:rsidRPr="00D1550C">
              <w:rPr>
                <w:rFonts w:cs="Calibri"/>
                <w:b/>
                <w:bCs/>
                <w:color w:val="000000"/>
              </w:rPr>
              <w:lastRenderedPageBreak/>
              <w:t>Charges for the use of intellectual property, not included elsewhere</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r>
      <w:tr w:rsidR="006007C8" w:rsidRPr="00D1550C" w:rsidTr="00975D13">
        <w:trPr>
          <w:trHeight w:val="454"/>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975D13">
            <w:pPr>
              <w:ind w:left="314"/>
              <w:rPr>
                <w:rFonts w:cs="Calibri"/>
                <w:b/>
                <w:bCs/>
                <w:color w:val="000000"/>
              </w:rPr>
            </w:pPr>
            <w:r w:rsidRPr="00D1550C">
              <w:rPr>
                <w:rFonts w:cs="Calibri"/>
                <w:b/>
                <w:bCs/>
                <w:color w:val="000000"/>
              </w:rPr>
              <w:t>Telecommunications, computer and information  services</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165,4</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166,5</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33,7</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42,6</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50,8</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39,5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77,2</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32,7</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44,5</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Telecommunications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156,6</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151,6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39,6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44,6</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69,0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39,6</w:t>
            </w:r>
          </w:p>
        </w:tc>
      </w:tr>
      <w:tr w:rsidR="006007C8" w:rsidRPr="00D1550C" w:rsidTr="00975D13">
        <w:trPr>
          <w:trHeight w:val="397"/>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Computer services</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7,0</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11,0</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5,6</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w:t>
            </w:r>
          </w:p>
        </w:tc>
      </w:tr>
      <w:tr w:rsidR="006007C8" w:rsidRPr="00D1550C" w:rsidTr="00975D13">
        <w:trPr>
          <w:trHeight w:val="397"/>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Information services</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3,9</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0,9</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w:t>
            </w:r>
          </w:p>
        </w:tc>
      </w:tr>
      <w:tr w:rsidR="006007C8" w:rsidRPr="00D1550C" w:rsidTr="00975D13">
        <w:trPr>
          <w:trHeight w:val="397"/>
        </w:trPr>
        <w:tc>
          <w:tcPr>
            <w:tcW w:w="5665" w:type="dxa"/>
            <w:tcBorders>
              <w:left w:val="single" w:sz="4" w:space="0" w:color="5B9BD5"/>
              <w:bottom w:val="nil"/>
              <w:right w:val="single" w:sz="4" w:space="0" w:color="5B9BD5"/>
            </w:tcBorders>
            <w:shd w:val="clear" w:color="000000" w:fill="BDD7EE"/>
            <w:vAlign w:val="center"/>
            <w:hideMark/>
          </w:tcPr>
          <w:p w:rsidR="006007C8" w:rsidRPr="00D1550C" w:rsidRDefault="006007C8" w:rsidP="006007C8">
            <w:pPr>
              <w:ind w:left="306" w:firstLineChars="9" w:firstLine="22"/>
              <w:rPr>
                <w:rFonts w:cs="Calibri"/>
                <w:b/>
                <w:bCs/>
                <w:color w:val="000000"/>
              </w:rPr>
            </w:pPr>
            <w:r w:rsidRPr="00D1550C">
              <w:rPr>
                <w:rFonts w:cs="Calibri"/>
                <w:b/>
                <w:bCs/>
                <w:color w:val="000000"/>
              </w:rPr>
              <w:t>Other business services</w:t>
            </w:r>
          </w:p>
        </w:tc>
        <w:tc>
          <w:tcPr>
            <w:tcW w:w="1060" w:type="dxa"/>
            <w:tcBorders>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65,8</w:t>
            </w:r>
          </w:p>
        </w:tc>
        <w:tc>
          <w:tcPr>
            <w:tcW w:w="1060" w:type="dxa"/>
            <w:tcBorders>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72,2</w:t>
            </w:r>
          </w:p>
        </w:tc>
        <w:tc>
          <w:tcPr>
            <w:tcW w:w="1059" w:type="dxa"/>
            <w:tcBorders>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13,7</w:t>
            </w:r>
          </w:p>
        </w:tc>
        <w:tc>
          <w:tcPr>
            <w:tcW w:w="1059" w:type="dxa"/>
            <w:tcBorders>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17,5</w:t>
            </w:r>
          </w:p>
        </w:tc>
        <w:tc>
          <w:tcPr>
            <w:tcW w:w="1059" w:type="dxa"/>
            <w:tcBorders>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20,6</w:t>
            </w:r>
          </w:p>
        </w:tc>
        <w:tc>
          <w:tcPr>
            <w:tcW w:w="1043" w:type="dxa"/>
            <w:tcBorders>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20,4</w:t>
            </w:r>
          </w:p>
        </w:tc>
        <w:tc>
          <w:tcPr>
            <w:tcW w:w="1060" w:type="dxa"/>
            <w:tcBorders>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40,5</w:t>
            </w:r>
          </w:p>
        </w:tc>
        <w:tc>
          <w:tcPr>
            <w:tcW w:w="1060" w:type="dxa"/>
            <w:tcBorders>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20,2</w:t>
            </w:r>
          </w:p>
        </w:tc>
        <w:tc>
          <w:tcPr>
            <w:tcW w:w="1060" w:type="dxa"/>
            <w:tcBorders>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20,4</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Research and development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7,8</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975D13">
            <w:pPr>
              <w:ind w:left="739"/>
              <w:rPr>
                <w:rFonts w:cs="Calibri"/>
                <w:color w:val="000000"/>
              </w:rPr>
            </w:pPr>
            <w:r w:rsidRPr="00D1550C">
              <w:rPr>
                <w:rFonts w:cs="Calibri"/>
                <w:color w:val="000000"/>
              </w:rPr>
              <w:t>Professional and management consulting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21,7</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975D13">
            <w:pPr>
              <w:ind w:left="739"/>
              <w:rPr>
                <w:rFonts w:cs="Calibri"/>
                <w:color w:val="000000"/>
              </w:rPr>
            </w:pPr>
            <w:r w:rsidRPr="00D1550C">
              <w:rPr>
                <w:rFonts w:cs="Calibri"/>
                <w:color w:val="000000"/>
              </w:rPr>
              <w:t>Technical, trade-related, and other business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36,3</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15,5</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16,6</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 xml:space="preserve"> Personal, cultural, and recreational services1</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Audiovisual and related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 xml:space="preserve"> Other personal, cultural, and recreational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975D13">
            <w:pPr>
              <w:ind w:left="314"/>
              <w:rPr>
                <w:rFonts w:cs="Calibri"/>
                <w:b/>
                <w:bCs/>
                <w:color w:val="000000"/>
              </w:rPr>
            </w:pPr>
            <w:r w:rsidRPr="00D1550C">
              <w:rPr>
                <w:rFonts w:cs="Calibri"/>
                <w:b/>
                <w:bCs/>
                <w:color w:val="000000"/>
              </w:rPr>
              <w:t>Government goods and services, not included elsewhere</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19,7</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7,0</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5,7</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w:t>
            </w:r>
          </w:p>
        </w:tc>
      </w:tr>
      <w:tr w:rsidR="006007C8" w:rsidRPr="00D1550C" w:rsidTr="00975D13">
        <w:trPr>
          <w:trHeight w:val="397"/>
        </w:trPr>
        <w:tc>
          <w:tcPr>
            <w:tcW w:w="5665" w:type="dxa"/>
            <w:tcBorders>
              <w:top w:val="single" w:sz="4" w:space="0" w:color="5B9BD5"/>
              <w:left w:val="single" w:sz="4" w:space="0" w:color="5B9BD5"/>
              <w:bottom w:val="single" w:sz="4" w:space="0" w:color="5B9BD5"/>
              <w:right w:val="nil"/>
            </w:tcBorders>
            <w:shd w:val="clear" w:color="auto" w:fill="auto"/>
            <w:vAlign w:val="center"/>
            <w:hideMark/>
          </w:tcPr>
          <w:p w:rsidR="006007C8" w:rsidRPr="00D1550C" w:rsidRDefault="006007C8" w:rsidP="006007C8">
            <w:pPr>
              <w:rPr>
                <w:rFonts w:cs="Calibri"/>
                <w:b/>
                <w:bCs/>
                <w:color w:val="000000"/>
              </w:rPr>
            </w:pPr>
            <w:r w:rsidRPr="00D1550C">
              <w:rPr>
                <w:rFonts w:cs="Calibri"/>
                <w:b/>
                <w:bCs/>
                <w:color w:val="000000"/>
              </w:rPr>
              <w:t> </w:t>
            </w:r>
          </w:p>
        </w:tc>
        <w:tc>
          <w:tcPr>
            <w:tcW w:w="1060" w:type="dxa"/>
            <w:tcBorders>
              <w:top w:val="single" w:sz="4" w:space="0" w:color="5B9BD5"/>
              <w:left w:val="nil"/>
              <w:bottom w:val="single" w:sz="4" w:space="0" w:color="5B9BD5"/>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single" w:sz="4" w:space="0" w:color="5B9BD5"/>
              <w:left w:val="single" w:sz="4" w:space="0" w:color="5B9BD5"/>
              <w:bottom w:val="single" w:sz="4" w:space="0" w:color="5B9BD5"/>
              <w:right w:val="nil"/>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59" w:type="dxa"/>
            <w:tcBorders>
              <w:top w:val="single" w:sz="4" w:space="0" w:color="5B9BD5"/>
              <w:left w:val="nil"/>
              <w:bottom w:val="single" w:sz="4" w:space="0" w:color="5B9BD5"/>
              <w:right w:val="nil"/>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59" w:type="dxa"/>
            <w:tcBorders>
              <w:top w:val="single" w:sz="4" w:space="0" w:color="5B9BD5"/>
              <w:left w:val="nil"/>
              <w:bottom w:val="single" w:sz="4" w:space="0" w:color="5B9BD5"/>
              <w:right w:val="nil"/>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59" w:type="dxa"/>
            <w:tcBorders>
              <w:top w:val="single" w:sz="4" w:space="0" w:color="5B9BD5"/>
              <w:left w:val="nil"/>
              <w:bottom w:val="single" w:sz="4" w:space="0" w:color="5B9BD5"/>
              <w:right w:val="nil"/>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43" w:type="dxa"/>
            <w:tcBorders>
              <w:top w:val="single" w:sz="4" w:space="0" w:color="5B9BD5"/>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single" w:sz="4" w:space="0" w:color="5B9BD5"/>
              <w:left w:val="nil"/>
              <w:bottom w:val="single" w:sz="4" w:space="0" w:color="5B9BD5"/>
              <w:right w:val="nil"/>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single" w:sz="4" w:space="0" w:color="5B9BD5"/>
              <w:left w:val="nil"/>
              <w:bottom w:val="single" w:sz="4" w:space="0" w:color="5B9BD5"/>
              <w:right w:val="nil"/>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single" w:sz="4" w:space="0" w:color="5B9BD5"/>
              <w:left w:val="nil"/>
              <w:bottom w:val="single" w:sz="4" w:space="0" w:color="5B9BD5"/>
              <w:right w:val="nil"/>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r>
      <w:tr w:rsidR="006007C8" w:rsidRPr="00D1550C" w:rsidTr="00975D13">
        <w:trPr>
          <w:trHeight w:val="454"/>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Services Imports</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5 360,9</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3 511,3</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1 064,7</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686,3</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791,1</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969,2</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2 040,0</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845,0</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b/>
                <w:bCs/>
                <w:color w:val="000000"/>
                <w:sz w:val="20"/>
                <w:szCs w:val="20"/>
              </w:rPr>
            </w:pPr>
            <w:r w:rsidRPr="00D1550C">
              <w:rPr>
                <w:rFonts w:asciiTheme="minorHAnsi" w:hAnsiTheme="minorHAnsi" w:cstheme="minorHAnsi"/>
                <w:b/>
                <w:bCs/>
                <w:color w:val="000000"/>
                <w:sz w:val="20"/>
                <w:szCs w:val="20"/>
              </w:rPr>
              <w:t>1 195,0</w:t>
            </w:r>
          </w:p>
        </w:tc>
      </w:tr>
      <w:tr w:rsidR="006007C8" w:rsidRPr="00D1550C" w:rsidTr="00975D13">
        <w:trPr>
          <w:trHeight w:val="454"/>
        </w:trPr>
        <w:tc>
          <w:tcPr>
            <w:tcW w:w="5665" w:type="dxa"/>
            <w:tcBorders>
              <w:top w:val="nil"/>
              <w:left w:val="single" w:sz="4" w:space="0" w:color="5B9BD5"/>
              <w:right w:val="single" w:sz="4" w:space="0" w:color="5B9BD5"/>
            </w:tcBorders>
            <w:shd w:val="clear" w:color="000000" w:fill="BDD7EE"/>
            <w:vAlign w:val="center"/>
            <w:hideMark/>
          </w:tcPr>
          <w:p w:rsidR="006007C8" w:rsidRPr="00D1550C" w:rsidRDefault="006007C8" w:rsidP="00975D13">
            <w:pPr>
              <w:ind w:left="314"/>
              <w:rPr>
                <w:rFonts w:cs="Calibri"/>
                <w:b/>
                <w:bCs/>
                <w:color w:val="000000"/>
              </w:rPr>
            </w:pPr>
            <w:r w:rsidRPr="00D1550C">
              <w:rPr>
                <w:rFonts w:cs="Calibri"/>
                <w:b/>
                <w:bCs/>
                <w:color w:val="000000"/>
              </w:rPr>
              <w:t>Manufacturing services on physical inputs owned by others</w:t>
            </w:r>
          </w:p>
        </w:tc>
        <w:tc>
          <w:tcPr>
            <w:tcW w:w="1060" w:type="dxa"/>
            <w:tcBorders>
              <w:top w:val="nil"/>
              <w:left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c>
          <w:tcPr>
            <w:tcW w:w="1060" w:type="dxa"/>
            <w:tcBorders>
              <w:top w:val="nil"/>
              <w:left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w:t>
            </w:r>
          </w:p>
        </w:tc>
        <w:tc>
          <w:tcPr>
            <w:tcW w:w="1059" w:type="dxa"/>
            <w:tcBorders>
              <w:top w:val="nil"/>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59" w:type="dxa"/>
            <w:tcBorders>
              <w:top w:val="nil"/>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59" w:type="dxa"/>
            <w:tcBorders>
              <w:top w:val="nil"/>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43" w:type="dxa"/>
            <w:tcBorders>
              <w:top w:val="nil"/>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60" w:type="dxa"/>
            <w:tcBorders>
              <w:top w:val="nil"/>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60" w:type="dxa"/>
            <w:tcBorders>
              <w:top w:val="nil"/>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60" w:type="dxa"/>
            <w:tcBorders>
              <w:top w:val="nil"/>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r>
      <w:tr w:rsidR="006007C8" w:rsidRPr="00D1550C" w:rsidTr="00975D13">
        <w:trPr>
          <w:trHeight w:val="454"/>
        </w:trPr>
        <w:tc>
          <w:tcPr>
            <w:tcW w:w="5665" w:type="dxa"/>
            <w:tcBorders>
              <w:top w:val="nil"/>
              <w:left w:val="single" w:sz="4" w:space="0" w:color="5B9BD5"/>
              <w:bottom w:val="single" w:sz="4" w:space="0" w:color="5B9BD5"/>
              <w:right w:val="single" w:sz="4" w:space="0" w:color="5B9BD5"/>
            </w:tcBorders>
            <w:shd w:val="clear" w:color="000000" w:fill="BDD7EE"/>
            <w:vAlign w:val="center"/>
            <w:hideMark/>
          </w:tcPr>
          <w:p w:rsidR="006007C8" w:rsidRPr="00D1550C" w:rsidRDefault="006007C8" w:rsidP="00975D13">
            <w:pPr>
              <w:ind w:left="314"/>
              <w:rPr>
                <w:rFonts w:cs="Calibri"/>
                <w:b/>
                <w:bCs/>
                <w:color w:val="000000"/>
              </w:rPr>
            </w:pPr>
            <w:r w:rsidRPr="00D1550C">
              <w:rPr>
                <w:rFonts w:cs="Calibri"/>
                <w:b/>
                <w:bCs/>
                <w:color w:val="000000"/>
              </w:rPr>
              <w:t>Maintenance and repair services, not included elsewhere</w:t>
            </w:r>
          </w:p>
        </w:tc>
        <w:tc>
          <w:tcPr>
            <w:tcW w:w="1060" w:type="dxa"/>
            <w:tcBorders>
              <w:top w:val="nil"/>
              <w:left w:val="nil"/>
              <w:bottom w:val="single" w:sz="4" w:space="0" w:color="5B9BD5"/>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17,5</w:t>
            </w:r>
          </w:p>
        </w:tc>
        <w:tc>
          <w:tcPr>
            <w:tcW w:w="1060" w:type="dxa"/>
            <w:tcBorders>
              <w:top w:val="nil"/>
              <w:left w:val="single" w:sz="4" w:space="0" w:color="5B9BD5"/>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41,9</w:t>
            </w:r>
          </w:p>
        </w:tc>
        <w:tc>
          <w:tcPr>
            <w:tcW w:w="1059"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6,5</w:t>
            </w:r>
          </w:p>
        </w:tc>
        <w:tc>
          <w:tcPr>
            <w:tcW w:w="1059"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14,0</w:t>
            </w:r>
          </w:p>
        </w:tc>
        <w:tc>
          <w:tcPr>
            <w:tcW w:w="1059"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7,7</w:t>
            </w:r>
          </w:p>
        </w:tc>
        <w:tc>
          <w:tcPr>
            <w:tcW w:w="1043"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13,8</w:t>
            </w:r>
          </w:p>
        </w:tc>
        <w:tc>
          <w:tcPr>
            <w:tcW w:w="1060"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26,9</w:t>
            </w:r>
          </w:p>
        </w:tc>
        <w:tc>
          <w:tcPr>
            <w:tcW w:w="1060"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7,1</w:t>
            </w:r>
          </w:p>
        </w:tc>
        <w:tc>
          <w:tcPr>
            <w:tcW w:w="1060"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19,8</w:t>
            </w:r>
          </w:p>
        </w:tc>
      </w:tr>
      <w:tr w:rsidR="006007C8" w:rsidRPr="00D1550C" w:rsidTr="00975D13">
        <w:trPr>
          <w:trHeight w:val="454"/>
        </w:trPr>
        <w:tc>
          <w:tcPr>
            <w:tcW w:w="5665" w:type="dxa"/>
            <w:tcBorders>
              <w:top w:val="single" w:sz="4" w:space="0" w:color="5B9BD5"/>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Transport services</w:t>
            </w:r>
          </w:p>
        </w:tc>
        <w:tc>
          <w:tcPr>
            <w:tcW w:w="1060" w:type="dxa"/>
            <w:tcBorders>
              <w:top w:val="single" w:sz="4" w:space="0" w:color="5B9BD5"/>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2 518,4</w:t>
            </w:r>
          </w:p>
        </w:tc>
        <w:tc>
          <w:tcPr>
            <w:tcW w:w="1060" w:type="dxa"/>
            <w:tcBorders>
              <w:top w:val="single" w:sz="4" w:space="0" w:color="5B9BD5"/>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1 825,2</w:t>
            </w:r>
          </w:p>
        </w:tc>
        <w:tc>
          <w:tcPr>
            <w:tcW w:w="1059"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485,6</w:t>
            </w:r>
          </w:p>
        </w:tc>
        <w:tc>
          <w:tcPr>
            <w:tcW w:w="1059"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364,3</w:t>
            </w:r>
          </w:p>
        </w:tc>
        <w:tc>
          <w:tcPr>
            <w:tcW w:w="1059"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458,1</w:t>
            </w:r>
          </w:p>
        </w:tc>
        <w:tc>
          <w:tcPr>
            <w:tcW w:w="1043"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517,2</w:t>
            </w:r>
          </w:p>
        </w:tc>
        <w:tc>
          <w:tcPr>
            <w:tcW w:w="1060"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1 060,2</w:t>
            </w:r>
          </w:p>
        </w:tc>
        <w:tc>
          <w:tcPr>
            <w:tcW w:w="1060"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453,6</w:t>
            </w:r>
          </w:p>
        </w:tc>
        <w:tc>
          <w:tcPr>
            <w:tcW w:w="1060" w:type="dxa"/>
            <w:tcBorders>
              <w:top w:val="single" w:sz="4" w:space="0" w:color="5B9BD5"/>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606,6</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440,4</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174,2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91,9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20,2</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57,6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169,7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43,4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126,2</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lastRenderedPageBreak/>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1 666,4</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1 473,9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307,8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343,5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414,4</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408,2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819,4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384,2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435,2</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411,6</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177,1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86,0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23,5</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51,3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71,2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45,2</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Sea transport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Air transport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480,3</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231,5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101,6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31,3</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83,4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188,9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50,8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138,1</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356,3</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143,4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75,3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15,7</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50,2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158,5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38,8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119,8</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17,8</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35,5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6,2</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106,1</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52,7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9,5</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12,3</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Others modes of transport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2 036,8</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1 589,6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383,4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348,9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426,5</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430,9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868,7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402,4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466,4</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84,1</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30,8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6,5</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Freight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1 648,6</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1 438,4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303,2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337,6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408,2</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389,4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808,5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379,2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429,2</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304,2</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120,4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63,6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13,7</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49,1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30,7</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100" w:firstLine="240"/>
              <w:rPr>
                <w:rFonts w:cs="Calibri"/>
                <w:i/>
                <w:iCs/>
              </w:rPr>
            </w:pPr>
            <w:r w:rsidRPr="00D1550C">
              <w:rPr>
                <w:rFonts w:cs="Calibri"/>
                <w:i/>
                <w:iCs/>
              </w:rPr>
              <w:t>Expanded classification of modes of transport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p>
        </w:tc>
      </w:tr>
      <w:tr w:rsidR="006007C8" w:rsidRPr="00D1550C" w:rsidTr="00975D13">
        <w:trPr>
          <w:trHeight w:val="340"/>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 xml:space="preserve">Railway transport  </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1 256,9</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1 213,9</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256,4</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285,9</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340,6</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331,0</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614,0</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298,3</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315,8</w:t>
            </w:r>
          </w:p>
        </w:tc>
      </w:tr>
      <w:tr w:rsidR="006007C8" w:rsidRPr="00D1550C" w:rsidTr="00975D13">
        <w:trPr>
          <w:trHeight w:val="340"/>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 xml:space="preserve">Passenger </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40,7</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14,7</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8,3</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2,4</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w:t>
            </w:r>
          </w:p>
        </w:tc>
      </w:tr>
      <w:tr w:rsidR="006007C8" w:rsidRPr="00D1550C" w:rsidTr="00975D13">
        <w:trPr>
          <w:trHeight w:val="340"/>
        </w:trPr>
        <w:tc>
          <w:tcPr>
            <w:tcW w:w="5665" w:type="dxa"/>
            <w:tcBorders>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Freight</w:t>
            </w:r>
          </w:p>
        </w:tc>
        <w:tc>
          <w:tcPr>
            <w:tcW w:w="1060" w:type="dxa"/>
            <w:tcBorders>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1 211,4</w:t>
            </w:r>
          </w:p>
        </w:tc>
        <w:tc>
          <w:tcPr>
            <w:tcW w:w="1060" w:type="dxa"/>
            <w:tcBorders>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1 195,6</w:t>
            </w:r>
          </w:p>
        </w:tc>
        <w:tc>
          <w:tcPr>
            <w:tcW w:w="1059"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247,7</w:t>
            </w:r>
          </w:p>
        </w:tc>
        <w:tc>
          <w:tcPr>
            <w:tcW w:w="1059"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283,0</w:t>
            </w:r>
          </w:p>
        </w:tc>
        <w:tc>
          <w:tcPr>
            <w:tcW w:w="1059"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337,9</w:t>
            </w:r>
          </w:p>
        </w:tc>
        <w:tc>
          <w:tcPr>
            <w:tcW w:w="1043"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327,0</w:t>
            </w:r>
          </w:p>
        </w:tc>
        <w:tc>
          <w:tcPr>
            <w:tcW w:w="1060"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610,6</w:t>
            </w:r>
          </w:p>
        </w:tc>
        <w:tc>
          <w:tcPr>
            <w:tcW w:w="1060"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296,5</w:t>
            </w:r>
          </w:p>
        </w:tc>
        <w:tc>
          <w:tcPr>
            <w:tcW w:w="1060" w:type="dxa"/>
            <w:tcBorders>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314,1</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Road transport</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478,6</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257,4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63,0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54,7</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72,9</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66,8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207,1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86,4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120,7</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 xml:space="preserve">Passenger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43,4</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5,3</w:t>
            </w:r>
          </w:p>
        </w:tc>
      </w:tr>
      <w:tr w:rsidR="006007C8" w:rsidRPr="00D1550C" w:rsidTr="00975D13">
        <w:trPr>
          <w:trHeight w:val="397"/>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Freight</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434,1</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240,4</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54,8</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53,1</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70,3</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62,2</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197,4</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82,6</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114,8</w:t>
            </w:r>
          </w:p>
        </w:tc>
      </w:tr>
      <w:tr w:rsidR="006007C8" w:rsidRPr="00D1550C" w:rsidTr="00975D13">
        <w:trPr>
          <w:trHeight w:val="397"/>
        </w:trPr>
        <w:tc>
          <w:tcPr>
            <w:tcW w:w="5665" w:type="dxa"/>
            <w:tcBorders>
              <w:top w:val="nil"/>
              <w:left w:val="single" w:sz="4" w:space="0" w:color="5B9BD5"/>
              <w:bottom w:val="single" w:sz="4" w:space="0" w:color="5B9BD5"/>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Other</w:t>
            </w:r>
          </w:p>
        </w:tc>
        <w:tc>
          <w:tcPr>
            <w:tcW w:w="1060" w:type="dxa"/>
            <w:tcBorders>
              <w:top w:val="nil"/>
              <w:left w:val="nil"/>
              <w:bottom w:val="single" w:sz="4" w:space="0" w:color="5B9BD5"/>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60" w:type="dxa"/>
            <w:tcBorders>
              <w:top w:val="nil"/>
              <w:left w:val="single" w:sz="4" w:space="0" w:color="5B9BD5"/>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43"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r>
      <w:tr w:rsidR="006007C8" w:rsidRPr="00D1550C" w:rsidTr="00975D13">
        <w:trPr>
          <w:trHeight w:val="340"/>
        </w:trPr>
        <w:tc>
          <w:tcPr>
            <w:tcW w:w="5665" w:type="dxa"/>
            <w:tcBorders>
              <w:top w:val="single" w:sz="4" w:space="0" w:color="5B9BD5"/>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Pipeline</w:t>
            </w:r>
          </w:p>
        </w:tc>
        <w:tc>
          <w:tcPr>
            <w:tcW w:w="1060" w:type="dxa"/>
            <w:tcBorders>
              <w:top w:val="single" w:sz="4" w:space="0" w:color="5B9BD5"/>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single" w:sz="4" w:space="0" w:color="5B9BD5"/>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7C683C">
        <w:trPr>
          <w:trHeight w:val="340"/>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 modes of transport</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301,4</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118,3</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64,0</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8,3</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12,9</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33,1</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47,6</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17,7</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29,9</w:t>
            </w:r>
          </w:p>
        </w:tc>
      </w:tr>
      <w:tr w:rsidR="006007C8" w:rsidRPr="00D1550C" w:rsidTr="007C683C">
        <w:trPr>
          <w:trHeight w:val="340"/>
        </w:trPr>
        <w:tc>
          <w:tcPr>
            <w:tcW w:w="5665" w:type="dxa"/>
            <w:tcBorders>
              <w:top w:val="nil"/>
              <w:left w:val="single" w:sz="4" w:space="0" w:color="5B9BD5"/>
              <w:bottom w:val="single" w:sz="4" w:space="0" w:color="5B9BD5"/>
              <w:right w:val="single" w:sz="4" w:space="0" w:color="5B9BD5"/>
            </w:tcBorders>
            <w:shd w:val="clear" w:color="auto" w:fill="auto"/>
            <w:vAlign w:val="center"/>
            <w:hideMark/>
          </w:tcPr>
          <w:p w:rsidR="006007C8" w:rsidRPr="00D1550C" w:rsidRDefault="006007C8" w:rsidP="006007C8">
            <w:pPr>
              <w:ind w:firstLineChars="700" w:firstLine="1680"/>
              <w:rPr>
                <w:rFonts w:cs="Calibri"/>
                <w:color w:val="000000"/>
              </w:rPr>
            </w:pPr>
            <w:r w:rsidRPr="00D1550C">
              <w:rPr>
                <w:rFonts w:cs="Calibri"/>
                <w:color w:val="000000"/>
              </w:rPr>
              <w:t>Freight</w:t>
            </w:r>
          </w:p>
        </w:tc>
        <w:tc>
          <w:tcPr>
            <w:tcW w:w="1060" w:type="dxa"/>
            <w:tcBorders>
              <w:top w:val="nil"/>
              <w:left w:val="nil"/>
              <w:bottom w:val="single" w:sz="4" w:space="0" w:color="5B9BD5"/>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w:t>
            </w:r>
          </w:p>
        </w:tc>
        <w:tc>
          <w:tcPr>
            <w:tcW w:w="1060" w:type="dxa"/>
            <w:tcBorders>
              <w:top w:val="nil"/>
              <w:left w:val="single" w:sz="4" w:space="0" w:color="5B9BD5"/>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0,7</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43"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r>
      <w:tr w:rsidR="006007C8" w:rsidRPr="00D1550C" w:rsidTr="007C683C">
        <w:trPr>
          <w:trHeight w:val="340"/>
        </w:trPr>
        <w:tc>
          <w:tcPr>
            <w:tcW w:w="5665" w:type="dxa"/>
            <w:tcBorders>
              <w:top w:val="single" w:sz="4" w:space="0" w:color="5B9BD5"/>
              <w:left w:val="single" w:sz="4" w:space="0" w:color="5B9BD5"/>
              <w:bottom w:val="nil"/>
              <w:right w:val="single" w:sz="4" w:space="0" w:color="5B9BD5"/>
            </w:tcBorders>
            <w:shd w:val="clear" w:color="auto" w:fill="auto"/>
            <w:vAlign w:val="center"/>
            <w:hideMark/>
          </w:tcPr>
          <w:p w:rsidR="006007C8" w:rsidRPr="00D1550C" w:rsidRDefault="006007C8" w:rsidP="00975D13">
            <w:pPr>
              <w:ind w:left="1164"/>
              <w:rPr>
                <w:rFonts w:cs="Calibri"/>
                <w:color w:val="000000"/>
              </w:rPr>
            </w:pPr>
            <w:r w:rsidRPr="00D1550C">
              <w:rPr>
                <w:rFonts w:cs="Calibri"/>
                <w:color w:val="000000"/>
              </w:rPr>
              <w:lastRenderedPageBreak/>
              <w:t>Other related or ancillary transport services</w:t>
            </w:r>
          </w:p>
        </w:tc>
        <w:tc>
          <w:tcPr>
            <w:tcW w:w="1060" w:type="dxa"/>
            <w:tcBorders>
              <w:top w:val="single" w:sz="4" w:space="0" w:color="5B9BD5"/>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298,2</w:t>
            </w:r>
          </w:p>
        </w:tc>
        <w:tc>
          <w:tcPr>
            <w:tcW w:w="1060" w:type="dxa"/>
            <w:tcBorders>
              <w:top w:val="single" w:sz="4" w:space="0" w:color="5B9BD5"/>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115,8</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63,2</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6,8</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12,9</w:t>
            </w:r>
          </w:p>
        </w:tc>
        <w:tc>
          <w:tcPr>
            <w:tcW w:w="1043"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32,9</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47,2</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17,6</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29,6</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975D13">
            <w:pPr>
              <w:ind w:firstLineChars="485" w:firstLine="1164"/>
              <w:rPr>
                <w:rFonts w:cs="Calibri"/>
                <w:color w:val="000000"/>
              </w:rPr>
            </w:pPr>
            <w:r w:rsidRPr="00D1550C">
              <w:rPr>
                <w:rFonts w:cs="Calibri"/>
                <w:color w:val="000000"/>
              </w:rPr>
              <w:t>Postal and courier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Travel</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2 313,0</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888,2</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451,0</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125,9</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151,1</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160,1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588,2</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223,4</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364,8</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Business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1 068,3</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528,0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229,0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124,8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119,7</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54,5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288,7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95,6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193,1</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Personal</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1 244,7</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360,2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222,0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31,4</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105,7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299,5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127,8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171,7</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health-related</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3,5</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0,7</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education-related</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0,8</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0,7</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500" w:firstLine="1200"/>
              <w:rPr>
                <w:rFonts w:cs="Calibri"/>
                <w:color w:val="000000"/>
              </w:rPr>
            </w:pPr>
            <w:r w:rsidRPr="00D1550C">
              <w:rPr>
                <w:rFonts w:cs="Calibri"/>
                <w:color w:val="000000"/>
              </w:rPr>
              <w:t>Other</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1 238,9</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355,8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220,5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30,2</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104,5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296,4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126,4</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170,0</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Construction</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25,5</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108,3</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24,8</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21,2</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59,1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47,5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34,3</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Construction abroad</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Construction in Uzbekistan</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25,5</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108,3</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24,8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21,2</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59,1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47,5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34,3</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 xml:space="preserve"> Insurance and pension services</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162,6</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145,4</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26,8</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33,0</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41,6</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44,0</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86,1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32,6</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53,5</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 xml:space="preserve">Direct insurance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154,1</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133,2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27,9</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41,2</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38,2</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71,3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39,3</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 xml:space="preserve">Reinsurance </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8,5</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0,4</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14,3</w:t>
            </w:r>
          </w:p>
        </w:tc>
      </w:tr>
      <w:tr w:rsidR="006007C8" w:rsidRPr="00D1550C" w:rsidTr="00975D13">
        <w:trPr>
          <w:trHeight w:val="34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Auxiliary insurance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306"/>
              <w:rPr>
                <w:rFonts w:cs="Calibri"/>
                <w:b/>
                <w:bCs/>
                <w:color w:val="000000"/>
              </w:rPr>
            </w:pPr>
            <w:r w:rsidRPr="00D1550C">
              <w:rPr>
                <w:rFonts w:cs="Calibri"/>
                <w:b/>
                <w:bCs/>
                <w:color w:val="000000"/>
              </w:rPr>
              <w:t>Financial services</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20,0</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13,7</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2,9</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17,2</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6,9</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10,3</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left="306"/>
              <w:rPr>
                <w:rFonts w:cs="Calibri"/>
                <w:b/>
                <w:bCs/>
                <w:color w:val="000000"/>
              </w:rPr>
            </w:pPr>
            <w:r w:rsidRPr="00D1550C">
              <w:rPr>
                <w:rFonts w:cs="Calibri"/>
                <w:b/>
                <w:bCs/>
                <w:color w:val="000000"/>
              </w:rPr>
              <w:t>Charges for the use of intellectual property, not included elsewhere</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87,1</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112,7</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32,4</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17,6</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9,8</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52,9</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52,9</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24,3</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12,9</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27" w:firstLine="305"/>
              <w:rPr>
                <w:rFonts w:cs="Calibri"/>
                <w:b/>
                <w:bCs/>
                <w:color w:val="000000"/>
              </w:rPr>
            </w:pPr>
            <w:r w:rsidRPr="00D1550C">
              <w:rPr>
                <w:rFonts w:cs="Calibri"/>
                <w:b/>
                <w:bCs/>
                <w:color w:val="000000"/>
              </w:rPr>
              <w:t>Telecommunications, computer and information  services</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71,8</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130,0</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26,9</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28,4</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39,7</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34,9</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60,9</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23,5</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37,4</w:t>
            </w:r>
          </w:p>
        </w:tc>
      </w:tr>
      <w:tr w:rsidR="006007C8" w:rsidRPr="00D1550C" w:rsidTr="00975D13">
        <w:trPr>
          <w:trHeight w:val="397"/>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Telecommunications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56,3</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93,8</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21,2</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28,2</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21,3</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43,6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26,0</w:t>
            </w:r>
          </w:p>
        </w:tc>
      </w:tr>
      <w:tr w:rsidR="006007C8" w:rsidRPr="00D1550C" w:rsidTr="00975D13">
        <w:trPr>
          <w:trHeight w:val="397"/>
        </w:trPr>
        <w:tc>
          <w:tcPr>
            <w:tcW w:w="5665" w:type="dxa"/>
            <w:tcBorders>
              <w:top w:val="nil"/>
              <w:left w:val="single" w:sz="4" w:space="0" w:color="5B9BD5"/>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Computer services</w:t>
            </w:r>
          </w:p>
        </w:tc>
        <w:tc>
          <w:tcPr>
            <w:tcW w:w="1060" w:type="dxa"/>
            <w:tcBorders>
              <w:top w:val="nil"/>
              <w:left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12,0</w:t>
            </w:r>
          </w:p>
        </w:tc>
        <w:tc>
          <w:tcPr>
            <w:tcW w:w="1060" w:type="dxa"/>
            <w:tcBorders>
              <w:top w:val="nil"/>
              <w:left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19,7</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4,0</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3,9</w:t>
            </w:r>
          </w:p>
        </w:tc>
        <w:tc>
          <w:tcPr>
            <w:tcW w:w="1059"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7,1</w:t>
            </w:r>
          </w:p>
        </w:tc>
        <w:tc>
          <w:tcPr>
            <w:tcW w:w="1043"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4,7</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5,6</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2,5</w:t>
            </w:r>
          </w:p>
        </w:tc>
        <w:tc>
          <w:tcPr>
            <w:tcW w:w="1060" w:type="dxa"/>
            <w:tcBorders>
              <w:top w:val="nil"/>
              <w:left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3,2</w:t>
            </w:r>
          </w:p>
        </w:tc>
      </w:tr>
      <w:tr w:rsidR="006007C8" w:rsidRPr="00D1550C" w:rsidTr="00975D13">
        <w:trPr>
          <w:trHeight w:val="397"/>
        </w:trPr>
        <w:tc>
          <w:tcPr>
            <w:tcW w:w="5665" w:type="dxa"/>
            <w:tcBorders>
              <w:top w:val="nil"/>
              <w:left w:val="single" w:sz="4" w:space="0" w:color="5B9BD5"/>
              <w:bottom w:val="single" w:sz="4" w:space="0" w:color="5B9BD5"/>
              <w:right w:val="single" w:sz="4" w:space="0" w:color="5B9BD5"/>
            </w:tcBorders>
            <w:shd w:val="clear" w:color="auto" w:fill="auto"/>
            <w:vAlign w:val="center"/>
            <w:hideMark/>
          </w:tcPr>
          <w:p w:rsidR="006007C8" w:rsidRPr="00D1550C" w:rsidRDefault="006007C8" w:rsidP="006007C8">
            <w:pPr>
              <w:ind w:firstLineChars="300" w:firstLine="720"/>
              <w:rPr>
                <w:rFonts w:cs="Calibri"/>
                <w:color w:val="000000"/>
              </w:rPr>
            </w:pPr>
            <w:r w:rsidRPr="00D1550C">
              <w:rPr>
                <w:rFonts w:cs="Calibri"/>
                <w:color w:val="000000"/>
              </w:rPr>
              <w:t>Information services</w:t>
            </w:r>
          </w:p>
        </w:tc>
        <w:tc>
          <w:tcPr>
            <w:tcW w:w="1060" w:type="dxa"/>
            <w:tcBorders>
              <w:top w:val="nil"/>
              <w:left w:val="nil"/>
              <w:bottom w:val="single" w:sz="4" w:space="0" w:color="5B9BD5"/>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3,5</w:t>
            </w:r>
          </w:p>
        </w:tc>
        <w:tc>
          <w:tcPr>
            <w:tcW w:w="1060" w:type="dxa"/>
            <w:tcBorders>
              <w:top w:val="nil"/>
              <w:left w:val="single" w:sz="4" w:space="0" w:color="5B9BD5"/>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16,4</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4,3</w:t>
            </w:r>
          </w:p>
        </w:tc>
        <w:tc>
          <w:tcPr>
            <w:tcW w:w="1043"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8,9</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11,7</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3,5</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8,3</w:t>
            </w:r>
          </w:p>
        </w:tc>
      </w:tr>
      <w:tr w:rsidR="006007C8" w:rsidRPr="00D1550C" w:rsidTr="007C683C">
        <w:trPr>
          <w:trHeight w:val="315"/>
        </w:trPr>
        <w:tc>
          <w:tcPr>
            <w:tcW w:w="5665" w:type="dxa"/>
            <w:tcBorders>
              <w:top w:val="single" w:sz="4" w:space="0" w:color="5B9BD5"/>
              <w:left w:val="single" w:sz="4" w:space="0" w:color="5B9BD5"/>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Other business services</w:t>
            </w:r>
          </w:p>
        </w:tc>
        <w:tc>
          <w:tcPr>
            <w:tcW w:w="1060" w:type="dxa"/>
            <w:tcBorders>
              <w:top w:val="single" w:sz="4" w:space="0" w:color="5B9BD5"/>
              <w:left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107,7</w:t>
            </w:r>
          </w:p>
        </w:tc>
        <w:tc>
          <w:tcPr>
            <w:tcW w:w="1060" w:type="dxa"/>
            <w:tcBorders>
              <w:top w:val="single" w:sz="4" w:space="0" w:color="5B9BD5"/>
              <w:left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206,8</w:t>
            </w:r>
          </w:p>
        </w:tc>
        <w:tc>
          <w:tcPr>
            <w:tcW w:w="1059" w:type="dxa"/>
            <w:tcBorders>
              <w:top w:val="single" w:sz="4" w:space="0" w:color="5B9BD5"/>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18,6</w:t>
            </w:r>
          </w:p>
        </w:tc>
        <w:tc>
          <w:tcPr>
            <w:tcW w:w="1059" w:type="dxa"/>
            <w:tcBorders>
              <w:top w:val="single" w:sz="4" w:space="0" w:color="5B9BD5"/>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67,4</w:t>
            </w:r>
          </w:p>
        </w:tc>
        <w:tc>
          <w:tcPr>
            <w:tcW w:w="1059" w:type="dxa"/>
            <w:tcBorders>
              <w:top w:val="single" w:sz="4" w:space="0" w:color="5B9BD5"/>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51,1</w:t>
            </w:r>
          </w:p>
        </w:tc>
        <w:tc>
          <w:tcPr>
            <w:tcW w:w="1043" w:type="dxa"/>
            <w:tcBorders>
              <w:top w:val="single" w:sz="4" w:space="0" w:color="5B9BD5"/>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69,7</w:t>
            </w:r>
          </w:p>
        </w:tc>
        <w:tc>
          <w:tcPr>
            <w:tcW w:w="1060" w:type="dxa"/>
            <w:tcBorders>
              <w:top w:val="single" w:sz="4" w:space="0" w:color="5B9BD5"/>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94,3</w:t>
            </w:r>
          </w:p>
        </w:tc>
        <w:tc>
          <w:tcPr>
            <w:tcW w:w="1060" w:type="dxa"/>
            <w:tcBorders>
              <w:top w:val="single" w:sz="4" w:space="0" w:color="5B9BD5"/>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48,8</w:t>
            </w:r>
          </w:p>
        </w:tc>
        <w:tc>
          <w:tcPr>
            <w:tcW w:w="1060" w:type="dxa"/>
            <w:tcBorders>
              <w:top w:val="single" w:sz="4" w:space="0" w:color="5B9BD5"/>
              <w:left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45,5</w:t>
            </w:r>
          </w:p>
        </w:tc>
      </w:tr>
      <w:tr w:rsidR="006007C8" w:rsidRPr="00D1550C" w:rsidTr="007C683C">
        <w:trPr>
          <w:trHeight w:val="600"/>
        </w:trPr>
        <w:tc>
          <w:tcPr>
            <w:tcW w:w="5665" w:type="dxa"/>
            <w:tcBorders>
              <w:top w:val="nil"/>
              <w:left w:val="single" w:sz="4" w:space="0" w:color="5B9BD5"/>
              <w:bottom w:val="single" w:sz="4" w:space="0" w:color="5B9BD5"/>
              <w:right w:val="single" w:sz="4" w:space="0" w:color="5B9BD5"/>
            </w:tcBorders>
            <w:shd w:val="clear" w:color="auto" w:fill="auto"/>
            <w:vAlign w:val="center"/>
            <w:hideMark/>
          </w:tcPr>
          <w:p w:rsidR="006007C8" w:rsidRPr="00D1550C" w:rsidRDefault="006007C8" w:rsidP="00975D13">
            <w:pPr>
              <w:ind w:firstLineChars="248" w:firstLine="595"/>
              <w:rPr>
                <w:rFonts w:cs="Calibri"/>
                <w:color w:val="000000"/>
              </w:rPr>
            </w:pPr>
            <w:r w:rsidRPr="00D1550C">
              <w:rPr>
                <w:rFonts w:cs="Calibri"/>
                <w:color w:val="000000"/>
              </w:rPr>
              <w:t>Research and development services</w:t>
            </w:r>
          </w:p>
        </w:tc>
        <w:tc>
          <w:tcPr>
            <w:tcW w:w="1060" w:type="dxa"/>
            <w:tcBorders>
              <w:top w:val="nil"/>
              <w:left w:val="nil"/>
              <w:bottom w:val="single" w:sz="4" w:space="0" w:color="5B9BD5"/>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w:t>
            </w:r>
          </w:p>
        </w:tc>
        <w:tc>
          <w:tcPr>
            <w:tcW w:w="1060" w:type="dxa"/>
            <w:tcBorders>
              <w:top w:val="nil"/>
              <w:left w:val="single" w:sz="4" w:space="0" w:color="5B9BD5"/>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4,4</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1,0</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59"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w:t>
            </w:r>
          </w:p>
        </w:tc>
        <w:tc>
          <w:tcPr>
            <w:tcW w:w="1043"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0,6</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0,7</w:t>
            </w:r>
          </w:p>
        </w:tc>
        <w:tc>
          <w:tcPr>
            <w:tcW w:w="1060" w:type="dxa"/>
            <w:tcBorders>
              <w:top w:val="nil"/>
              <w:left w:val="nil"/>
              <w:bottom w:val="single" w:sz="4" w:space="0" w:color="5B9BD5"/>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0,3</w:t>
            </w:r>
          </w:p>
        </w:tc>
      </w:tr>
      <w:tr w:rsidR="006007C8" w:rsidRPr="00D1550C" w:rsidTr="007C683C">
        <w:trPr>
          <w:trHeight w:val="600"/>
        </w:trPr>
        <w:tc>
          <w:tcPr>
            <w:tcW w:w="5665" w:type="dxa"/>
            <w:tcBorders>
              <w:top w:val="single" w:sz="4" w:space="0" w:color="5B9BD5"/>
              <w:left w:val="single" w:sz="4" w:space="0" w:color="5B9BD5"/>
              <w:bottom w:val="nil"/>
              <w:right w:val="single" w:sz="4" w:space="0" w:color="5B9BD5"/>
            </w:tcBorders>
            <w:shd w:val="clear" w:color="auto" w:fill="auto"/>
            <w:vAlign w:val="center"/>
            <w:hideMark/>
          </w:tcPr>
          <w:p w:rsidR="006007C8" w:rsidRPr="00D1550C" w:rsidRDefault="006007C8" w:rsidP="00975D13">
            <w:pPr>
              <w:ind w:firstLineChars="248" w:firstLine="595"/>
              <w:rPr>
                <w:rFonts w:cs="Calibri"/>
                <w:color w:val="000000"/>
              </w:rPr>
            </w:pPr>
            <w:r w:rsidRPr="00D1550C">
              <w:rPr>
                <w:rFonts w:cs="Calibri"/>
                <w:color w:val="000000"/>
              </w:rPr>
              <w:lastRenderedPageBreak/>
              <w:t>Professional and management consulting services</w:t>
            </w:r>
          </w:p>
        </w:tc>
        <w:tc>
          <w:tcPr>
            <w:tcW w:w="1060" w:type="dxa"/>
            <w:tcBorders>
              <w:top w:val="single" w:sz="4" w:space="0" w:color="5B9BD5"/>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34,8</w:t>
            </w:r>
          </w:p>
        </w:tc>
        <w:tc>
          <w:tcPr>
            <w:tcW w:w="1060" w:type="dxa"/>
            <w:tcBorders>
              <w:top w:val="single" w:sz="4" w:space="0" w:color="5B9BD5"/>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30,9</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5,3</w:t>
            </w:r>
          </w:p>
        </w:tc>
        <w:tc>
          <w:tcPr>
            <w:tcW w:w="1059"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14,3</w:t>
            </w:r>
          </w:p>
        </w:tc>
        <w:tc>
          <w:tcPr>
            <w:tcW w:w="1043"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9,1</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11,7</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5,2</w:t>
            </w:r>
          </w:p>
        </w:tc>
        <w:tc>
          <w:tcPr>
            <w:tcW w:w="1060" w:type="dxa"/>
            <w:tcBorders>
              <w:top w:val="single" w:sz="4" w:space="0" w:color="5B9BD5"/>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6,4</w:t>
            </w:r>
          </w:p>
        </w:tc>
      </w:tr>
      <w:tr w:rsidR="006007C8" w:rsidRPr="00D1550C" w:rsidTr="006007C8">
        <w:trPr>
          <w:trHeight w:val="600"/>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975D13">
            <w:pPr>
              <w:ind w:left="597"/>
              <w:rPr>
                <w:rFonts w:cs="Calibri"/>
                <w:color w:val="000000"/>
              </w:rPr>
            </w:pPr>
            <w:r w:rsidRPr="00D1550C">
              <w:rPr>
                <w:rFonts w:cs="Calibri"/>
                <w:color w:val="000000"/>
              </w:rPr>
              <w:t>Technical, trade-related, and other business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68,5</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171,5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15,4</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61,5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34,7</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60,0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81,5</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42,9</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38,7</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 xml:space="preserve"> Personal, cultural, and recreational services1</w:t>
            </w:r>
          </w:p>
        </w:tc>
        <w:tc>
          <w:tcPr>
            <w:tcW w:w="1060" w:type="dxa"/>
            <w:tcBorders>
              <w:top w:val="nil"/>
              <w:left w:val="nil"/>
              <w:bottom w:val="nil"/>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9,7</w:t>
            </w:r>
          </w:p>
        </w:tc>
        <w:tc>
          <w:tcPr>
            <w:tcW w:w="1060" w:type="dxa"/>
            <w:tcBorders>
              <w:top w:val="nil"/>
              <w:left w:val="single" w:sz="4" w:space="0" w:color="5B9BD5"/>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9,5</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59"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w:t>
            </w:r>
          </w:p>
        </w:tc>
        <w:tc>
          <w:tcPr>
            <w:tcW w:w="1043"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w:t>
            </w:r>
          </w:p>
        </w:tc>
        <w:tc>
          <w:tcPr>
            <w:tcW w:w="1060" w:type="dxa"/>
            <w:tcBorders>
              <w:top w:val="nil"/>
              <w:left w:val="nil"/>
              <w:bottom w:val="nil"/>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975D13">
            <w:pPr>
              <w:ind w:firstLineChars="248" w:firstLine="595"/>
              <w:rPr>
                <w:rFonts w:cs="Calibri"/>
                <w:color w:val="000000"/>
              </w:rPr>
            </w:pPr>
            <w:r w:rsidRPr="00D1550C">
              <w:rPr>
                <w:rFonts w:cs="Calibri"/>
                <w:color w:val="000000"/>
              </w:rPr>
              <w:t>Audiovisual and related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0,0</w:t>
            </w:r>
          </w:p>
        </w:tc>
      </w:tr>
      <w:tr w:rsidR="006007C8" w:rsidRPr="00D1550C" w:rsidTr="006007C8">
        <w:trPr>
          <w:trHeight w:val="315"/>
        </w:trPr>
        <w:tc>
          <w:tcPr>
            <w:tcW w:w="5665" w:type="dxa"/>
            <w:tcBorders>
              <w:top w:val="nil"/>
              <w:left w:val="single" w:sz="4" w:space="0" w:color="5B9BD5"/>
              <w:bottom w:val="nil"/>
              <w:right w:val="single" w:sz="4" w:space="0" w:color="5B9BD5"/>
            </w:tcBorders>
            <w:shd w:val="clear" w:color="auto" w:fill="auto"/>
            <w:vAlign w:val="center"/>
            <w:hideMark/>
          </w:tcPr>
          <w:p w:rsidR="006007C8" w:rsidRPr="00D1550C" w:rsidRDefault="006007C8" w:rsidP="00975D13">
            <w:pPr>
              <w:ind w:left="597"/>
              <w:rPr>
                <w:rFonts w:cs="Calibri"/>
                <w:color w:val="000000"/>
              </w:rPr>
            </w:pPr>
            <w:r w:rsidRPr="00D1550C">
              <w:rPr>
                <w:rFonts w:cs="Calibri"/>
                <w:color w:val="000000"/>
              </w:rPr>
              <w:t xml:space="preserve"> Other personal, cultural, and recreational services</w:t>
            </w:r>
          </w:p>
        </w:tc>
        <w:tc>
          <w:tcPr>
            <w:tcW w:w="1060" w:type="dxa"/>
            <w:tcBorders>
              <w:top w:val="nil"/>
              <w:left w:val="nil"/>
              <w:bottom w:val="nil"/>
              <w:right w:val="single" w:sz="4" w:space="0" w:color="5B9BD5"/>
            </w:tcBorders>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9,7</w:t>
            </w:r>
          </w:p>
        </w:tc>
        <w:tc>
          <w:tcPr>
            <w:tcW w:w="1060" w:type="dxa"/>
            <w:tcBorders>
              <w:top w:val="nil"/>
              <w:left w:val="single" w:sz="4" w:space="0" w:color="5B9BD5"/>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9,5</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2,1</w:t>
            </w:r>
          </w:p>
        </w:tc>
        <w:tc>
          <w:tcPr>
            <w:tcW w:w="1059"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2,3</w:t>
            </w:r>
          </w:p>
        </w:tc>
        <w:tc>
          <w:tcPr>
            <w:tcW w:w="1043"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3,1</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4,8</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2,6</w:t>
            </w:r>
          </w:p>
        </w:tc>
        <w:tc>
          <w:tcPr>
            <w:tcW w:w="1060" w:type="dxa"/>
            <w:tcBorders>
              <w:top w:val="nil"/>
              <w:left w:val="nil"/>
              <w:bottom w:val="nil"/>
              <w:right w:val="single" w:sz="4" w:space="0" w:color="5B9BD5"/>
            </w:tcBorders>
            <w:shd w:val="clear" w:color="auto" w:fill="auto"/>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2,2</w:t>
            </w:r>
          </w:p>
        </w:tc>
      </w:tr>
      <w:tr w:rsidR="006007C8" w:rsidRPr="00D1550C" w:rsidTr="006007C8">
        <w:trPr>
          <w:trHeight w:val="315"/>
        </w:trPr>
        <w:tc>
          <w:tcPr>
            <w:tcW w:w="5665" w:type="dxa"/>
            <w:tcBorders>
              <w:top w:val="nil"/>
              <w:left w:val="single" w:sz="4" w:space="0" w:color="5B9BD5"/>
              <w:bottom w:val="single" w:sz="4" w:space="0" w:color="5B9BD5"/>
              <w:right w:val="single" w:sz="4" w:space="0" w:color="5B9BD5"/>
            </w:tcBorders>
            <w:shd w:val="clear" w:color="000000" w:fill="BDD7EE"/>
            <w:vAlign w:val="center"/>
            <w:hideMark/>
          </w:tcPr>
          <w:p w:rsidR="006007C8" w:rsidRPr="00D1550C" w:rsidRDefault="006007C8" w:rsidP="006007C8">
            <w:pPr>
              <w:ind w:firstLineChars="100" w:firstLine="240"/>
              <w:rPr>
                <w:rFonts w:cs="Calibri"/>
                <w:b/>
                <w:bCs/>
                <w:color w:val="000000"/>
              </w:rPr>
            </w:pPr>
            <w:r w:rsidRPr="00D1550C">
              <w:rPr>
                <w:rFonts w:cs="Calibri"/>
                <w:b/>
                <w:bCs/>
                <w:color w:val="000000"/>
              </w:rPr>
              <w:t>Government goods and services, not included elsewhere</w:t>
            </w:r>
          </w:p>
        </w:tc>
        <w:tc>
          <w:tcPr>
            <w:tcW w:w="1060" w:type="dxa"/>
            <w:tcBorders>
              <w:top w:val="nil"/>
              <w:left w:val="nil"/>
              <w:bottom w:val="single" w:sz="4" w:space="0" w:color="5B9BD5"/>
              <w:right w:val="single" w:sz="4" w:space="0" w:color="5B9BD5"/>
            </w:tcBorders>
            <w:shd w:val="clear" w:color="000000" w:fill="BDD7EE"/>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27,0</w:t>
            </w:r>
          </w:p>
        </w:tc>
        <w:tc>
          <w:tcPr>
            <w:tcW w:w="1060" w:type="dxa"/>
            <w:tcBorders>
              <w:top w:val="nil"/>
              <w:left w:val="single" w:sz="4" w:space="0" w:color="5B9BD5"/>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28,2</w:t>
            </w:r>
          </w:p>
        </w:tc>
        <w:tc>
          <w:tcPr>
            <w:tcW w:w="1059"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8,2</w:t>
            </w:r>
          </w:p>
        </w:tc>
        <w:tc>
          <w:tcPr>
            <w:tcW w:w="1059"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5,5</w:t>
            </w:r>
          </w:p>
        </w:tc>
        <w:tc>
          <w:tcPr>
            <w:tcW w:w="1059"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7,1</w:t>
            </w:r>
          </w:p>
        </w:tc>
        <w:tc>
          <w:tcPr>
            <w:tcW w:w="1043"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7,5</w:t>
            </w:r>
          </w:p>
        </w:tc>
        <w:tc>
          <w:tcPr>
            <w:tcW w:w="1060"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15,6</w:t>
            </w:r>
          </w:p>
        </w:tc>
        <w:tc>
          <w:tcPr>
            <w:tcW w:w="1060"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8,1</w:t>
            </w:r>
          </w:p>
        </w:tc>
        <w:tc>
          <w:tcPr>
            <w:tcW w:w="1060" w:type="dxa"/>
            <w:tcBorders>
              <w:top w:val="nil"/>
              <w:left w:val="nil"/>
              <w:bottom w:val="single" w:sz="4" w:space="0" w:color="5B9BD5"/>
              <w:right w:val="single" w:sz="4" w:space="0" w:color="5B9BD5"/>
            </w:tcBorders>
            <w:shd w:val="clear" w:color="000000" w:fill="BDD7EE"/>
            <w:noWrap/>
            <w:vAlign w:val="center"/>
          </w:tcPr>
          <w:p w:rsidR="006007C8" w:rsidRPr="00D1550C" w:rsidRDefault="006007C8" w:rsidP="006007C8">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7,5</w:t>
            </w:r>
          </w:p>
        </w:tc>
      </w:tr>
    </w:tbl>
    <w:p w:rsidR="009304D9" w:rsidRPr="00D1550C" w:rsidRDefault="009304D9" w:rsidP="00DA1443">
      <w:pPr>
        <w:jc w:val="right"/>
        <w:rPr>
          <w:rFonts w:cs="Arial"/>
        </w:rPr>
      </w:pPr>
    </w:p>
    <w:p w:rsidR="00DA1443" w:rsidRPr="00D1550C" w:rsidRDefault="00DA1443" w:rsidP="00DA1443">
      <w:pPr>
        <w:jc w:val="right"/>
        <w:rPr>
          <w:rFonts w:cs="Arial"/>
        </w:rPr>
      </w:pPr>
    </w:p>
    <w:p w:rsidR="000609A8" w:rsidRPr="00D1550C" w:rsidRDefault="000609A8">
      <w:pPr>
        <w:rPr>
          <w:rFonts w:cs="Arial"/>
        </w:rPr>
      </w:pPr>
      <w:r w:rsidRPr="00D1550C">
        <w:rPr>
          <w:rFonts w:cs="Arial"/>
        </w:rPr>
        <w:br w:type="page"/>
      </w:r>
    </w:p>
    <w:p w:rsidR="009304D9" w:rsidRPr="00D1550C" w:rsidRDefault="009304D9" w:rsidP="00D35A7A">
      <w:pPr>
        <w:ind w:right="83"/>
        <w:jc w:val="right"/>
        <w:rPr>
          <w:i/>
        </w:rPr>
      </w:pPr>
      <w:r w:rsidRPr="00D1550C">
        <w:rPr>
          <w:i/>
        </w:rPr>
        <w:lastRenderedPageBreak/>
        <w:t xml:space="preserve">Addenda </w:t>
      </w:r>
      <w:r w:rsidR="003C7C79" w:rsidRPr="00D1550C">
        <w:rPr>
          <w:i/>
        </w:rPr>
        <w:t>9</w:t>
      </w:r>
    </w:p>
    <w:p w:rsidR="009304D9" w:rsidRPr="00D1550C" w:rsidRDefault="00CD4C7C" w:rsidP="009304D9">
      <w:pPr>
        <w:pStyle w:val="1"/>
        <w:ind w:left="0"/>
        <w:jc w:val="center"/>
        <w:rPr>
          <w:rFonts w:ascii="Calibri" w:hAnsi="Calibri"/>
          <w:b w:val="0"/>
          <w:sz w:val="26"/>
          <w:szCs w:val="26"/>
          <w:lang w:val="en-US"/>
        </w:rPr>
      </w:pPr>
      <w:bookmarkStart w:id="33" w:name="_Toc83291136"/>
      <w:r w:rsidRPr="00D1550C">
        <w:rPr>
          <w:rFonts w:ascii="Calibri" w:hAnsi="Calibri" w:cs="Calibri"/>
          <w:sz w:val="26"/>
          <w:szCs w:val="26"/>
          <w:lang w:val="en-US"/>
        </w:rPr>
        <w:t xml:space="preserve">PERSONAL TRANSFERS </w:t>
      </w:r>
      <w:r w:rsidR="00910239" w:rsidRPr="00D1550C">
        <w:rPr>
          <w:rFonts w:ascii="Calibri" w:hAnsi="Calibri" w:cs="Calibri"/>
          <w:sz w:val="26"/>
          <w:szCs w:val="26"/>
          <w:lang w:val="en-US"/>
        </w:rPr>
        <w:t>FOR</w:t>
      </w:r>
      <w:r w:rsidR="004A2C6C" w:rsidRPr="00D1550C">
        <w:rPr>
          <w:rFonts w:ascii="Calibri" w:hAnsi="Calibri" w:cs="Calibri"/>
          <w:sz w:val="26"/>
          <w:szCs w:val="26"/>
          <w:lang w:val="en-US"/>
        </w:rPr>
        <w:t xml:space="preserve"> </w:t>
      </w:r>
      <w:r w:rsidR="00A85A23" w:rsidRPr="00D1550C">
        <w:rPr>
          <w:rFonts w:ascii="Calibri" w:hAnsi="Calibri" w:cs="Calibri"/>
          <w:sz w:val="26"/>
          <w:szCs w:val="26"/>
          <w:lang w:val="en-US"/>
        </w:rPr>
        <w:t>THE FIRST HALF</w:t>
      </w:r>
      <w:r w:rsidR="004A2C6C" w:rsidRPr="00D1550C">
        <w:rPr>
          <w:rFonts w:ascii="Calibri" w:hAnsi="Calibri" w:cs="Calibri"/>
          <w:sz w:val="26"/>
          <w:szCs w:val="26"/>
          <w:lang w:val="en-US"/>
        </w:rPr>
        <w:t xml:space="preserve"> OF</w:t>
      </w:r>
      <w:r w:rsidR="00910239" w:rsidRPr="00D1550C">
        <w:rPr>
          <w:rFonts w:ascii="Calibri" w:hAnsi="Calibri" w:cs="Calibri"/>
          <w:sz w:val="26"/>
          <w:szCs w:val="26"/>
          <w:lang w:val="en-US"/>
        </w:rPr>
        <w:t xml:space="preserve"> </w:t>
      </w:r>
      <w:r w:rsidR="009304D9" w:rsidRPr="00D1550C">
        <w:rPr>
          <w:rFonts w:ascii="Calibri" w:hAnsi="Calibri" w:cs="Calibri"/>
          <w:sz w:val="26"/>
          <w:szCs w:val="26"/>
          <w:lang w:val="en-US"/>
        </w:rPr>
        <w:t>20</w:t>
      </w:r>
      <w:r w:rsidR="00A85A23" w:rsidRPr="00D1550C">
        <w:rPr>
          <w:rFonts w:ascii="Calibri" w:hAnsi="Calibri" w:cs="Calibri"/>
          <w:sz w:val="26"/>
          <w:szCs w:val="26"/>
          <w:lang w:val="en-US"/>
        </w:rPr>
        <w:t>19</w:t>
      </w:r>
      <w:r w:rsidR="009304D9" w:rsidRPr="00D1550C">
        <w:rPr>
          <w:rFonts w:ascii="Calibri" w:hAnsi="Calibri" w:cs="Calibri"/>
          <w:sz w:val="26"/>
          <w:szCs w:val="26"/>
          <w:lang w:val="en-US"/>
        </w:rPr>
        <w:t xml:space="preserve"> </w:t>
      </w:r>
      <w:r w:rsidR="004A2C6C" w:rsidRPr="00D1550C">
        <w:rPr>
          <w:rFonts w:ascii="Calibri" w:hAnsi="Calibri" w:cs="Calibri"/>
          <w:sz w:val="26"/>
          <w:szCs w:val="26"/>
          <w:lang w:val="en-US"/>
        </w:rPr>
        <w:t>-</w:t>
      </w:r>
      <w:r w:rsidR="009304D9" w:rsidRPr="00D1550C">
        <w:rPr>
          <w:rFonts w:ascii="Calibri" w:hAnsi="Calibri" w:cs="Calibri"/>
          <w:sz w:val="26"/>
          <w:szCs w:val="26"/>
          <w:lang w:val="en-US"/>
        </w:rPr>
        <w:t xml:space="preserve"> 20</w:t>
      </w:r>
      <w:r w:rsidR="007B374C" w:rsidRPr="00D1550C">
        <w:rPr>
          <w:rFonts w:ascii="Calibri" w:hAnsi="Calibri" w:cs="Calibri"/>
          <w:sz w:val="26"/>
          <w:szCs w:val="26"/>
          <w:lang w:val="en-US"/>
        </w:rPr>
        <w:t>2</w:t>
      </w:r>
      <w:r w:rsidR="004A2C6C" w:rsidRPr="00D1550C">
        <w:rPr>
          <w:rFonts w:ascii="Calibri" w:hAnsi="Calibri" w:cs="Calibri"/>
          <w:sz w:val="26"/>
          <w:szCs w:val="26"/>
          <w:lang w:val="en-US"/>
        </w:rPr>
        <w:t>1</w:t>
      </w:r>
      <w:bookmarkEnd w:id="33"/>
      <w:r w:rsidR="009304D9" w:rsidRPr="00D1550C">
        <w:rPr>
          <w:rFonts w:ascii="Calibri" w:hAnsi="Calibri"/>
          <w:b w:val="0"/>
          <w:sz w:val="26"/>
          <w:szCs w:val="26"/>
          <w:lang w:val="en-US"/>
        </w:rPr>
        <w:t xml:space="preserve"> </w:t>
      </w:r>
    </w:p>
    <w:p w:rsidR="009304D9" w:rsidRPr="00D1550C" w:rsidRDefault="009304D9" w:rsidP="009304D9">
      <w:pPr>
        <w:jc w:val="center"/>
        <w:rPr>
          <w:rFonts w:cs="Calibri"/>
          <w:sz w:val="22"/>
          <w:szCs w:val="22"/>
        </w:rPr>
      </w:pPr>
      <w:r w:rsidRPr="00D1550C">
        <w:rPr>
          <w:rFonts w:cs="Calibri"/>
          <w:sz w:val="22"/>
          <w:szCs w:val="22"/>
        </w:rPr>
        <w:t xml:space="preserve">(cross-border money transfers </w:t>
      </w:r>
      <w:r w:rsidR="007B374C" w:rsidRPr="00D1550C">
        <w:rPr>
          <w:rFonts w:cs="Calibri"/>
          <w:sz w:val="22"/>
          <w:szCs w:val="22"/>
        </w:rPr>
        <w:t xml:space="preserve">of </w:t>
      </w:r>
      <w:r w:rsidRPr="00D1550C">
        <w:rPr>
          <w:rFonts w:cs="Calibri"/>
          <w:sz w:val="22"/>
          <w:szCs w:val="22"/>
        </w:rPr>
        <w:t>individuals)</w:t>
      </w:r>
    </w:p>
    <w:p w:rsidR="009304D9" w:rsidRPr="00D1550C" w:rsidRDefault="009304D9" w:rsidP="00D35A7A">
      <w:pPr>
        <w:spacing w:line="288" w:lineRule="auto"/>
        <w:ind w:right="-59"/>
        <w:jc w:val="right"/>
        <w:rPr>
          <w:i/>
          <w:sz w:val="20"/>
          <w:szCs w:val="20"/>
        </w:rPr>
      </w:pPr>
      <w:r w:rsidRPr="00D1550C">
        <w:rPr>
          <w:i/>
          <w:sz w:val="20"/>
          <w:szCs w:val="20"/>
        </w:rPr>
        <w:t>(mln. USD)</w:t>
      </w:r>
    </w:p>
    <w:tbl>
      <w:tblPr>
        <w:tblW w:w="1499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114"/>
        <w:gridCol w:w="1275"/>
        <w:gridCol w:w="1438"/>
        <w:gridCol w:w="1397"/>
        <w:gridCol w:w="7"/>
        <w:gridCol w:w="1411"/>
        <w:gridCol w:w="1417"/>
        <w:gridCol w:w="1374"/>
        <w:gridCol w:w="1149"/>
        <w:gridCol w:w="1305"/>
        <w:gridCol w:w="1110"/>
      </w:tblGrid>
      <w:tr w:rsidR="00A85A23" w:rsidRPr="00D1550C" w:rsidTr="00462E90">
        <w:trPr>
          <w:trHeight w:val="330"/>
          <w:tblHeader/>
        </w:trPr>
        <w:tc>
          <w:tcPr>
            <w:tcW w:w="3114" w:type="dxa"/>
            <w:vMerge w:val="restart"/>
            <w:shd w:val="clear" w:color="auto" w:fill="auto"/>
            <w:noWrap/>
            <w:vAlign w:val="center"/>
            <w:hideMark/>
          </w:tcPr>
          <w:p w:rsidR="00A85A23" w:rsidRPr="00D1550C" w:rsidRDefault="00A85A23" w:rsidP="000609A8">
            <w:pPr>
              <w:jc w:val="center"/>
              <w:rPr>
                <w:b/>
                <w:bCs/>
                <w:color w:val="000000"/>
                <w:sz w:val="22"/>
              </w:rPr>
            </w:pPr>
            <w:r w:rsidRPr="00D1550C">
              <w:rPr>
                <w:b/>
                <w:bCs/>
                <w:color w:val="000000"/>
                <w:sz w:val="22"/>
              </w:rPr>
              <w:t>Region/Country</w:t>
            </w:r>
          </w:p>
        </w:tc>
        <w:tc>
          <w:tcPr>
            <w:tcW w:w="4117" w:type="dxa"/>
            <w:gridSpan w:val="4"/>
            <w:shd w:val="clear" w:color="auto" w:fill="auto"/>
            <w:vAlign w:val="center"/>
            <w:hideMark/>
          </w:tcPr>
          <w:p w:rsidR="00A85A23" w:rsidRPr="00D1550C" w:rsidRDefault="00A85A23" w:rsidP="000609A8">
            <w:pPr>
              <w:jc w:val="center"/>
              <w:rPr>
                <w:b/>
                <w:bCs/>
                <w:color w:val="000000"/>
                <w:sz w:val="22"/>
              </w:rPr>
            </w:pPr>
            <w:r w:rsidRPr="00D1550C">
              <w:rPr>
                <w:b/>
                <w:bCs/>
                <w:color w:val="000000"/>
                <w:sz w:val="22"/>
              </w:rPr>
              <w:t>Transfers to Uzbekistan</w:t>
            </w:r>
          </w:p>
        </w:tc>
        <w:tc>
          <w:tcPr>
            <w:tcW w:w="4202" w:type="dxa"/>
            <w:gridSpan w:val="3"/>
            <w:shd w:val="clear" w:color="auto" w:fill="auto"/>
            <w:vAlign w:val="center"/>
            <w:hideMark/>
          </w:tcPr>
          <w:p w:rsidR="00A85A23" w:rsidRPr="00D1550C" w:rsidRDefault="00A85A23" w:rsidP="000609A8">
            <w:pPr>
              <w:jc w:val="center"/>
              <w:rPr>
                <w:b/>
                <w:bCs/>
                <w:color w:val="000000"/>
                <w:sz w:val="22"/>
              </w:rPr>
            </w:pPr>
            <w:r w:rsidRPr="00D1550C">
              <w:rPr>
                <w:b/>
                <w:bCs/>
                <w:color w:val="000000"/>
                <w:sz w:val="22"/>
              </w:rPr>
              <w:t>Transfers from Uzbekistan</w:t>
            </w:r>
          </w:p>
        </w:tc>
        <w:tc>
          <w:tcPr>
            <w:tcW w:w="1149" w:type="dxa"/>
            <w:vMerge w:val="restart"/>
            <w:shd w:val="clear" w:color="auto" w:fill="auto"/>
            <w:vAlign w:val="center"/>
            <w:hideMark/>
          </w:tcPr>
          <w:p w:rsidR="00A85A23" w:rsidRPr="00D1550C" w:rsidRDefault="00A85A23" w:rsidP="002E62F2">
            <w:pPr>
              <w:jc w:val="center"/>
              <w:rPr>
                <w:b/>
                <w:bCs/>
                <w:color w:val="000000"/>
                <w:sz w:val="22"/>
              </w:rPr>
            </w:pPr>
            <w:r w:rsidRPr="00D1550C">
              <w:rPr>
                <w:b/>
                <w:bCs/>
                <w:color w:val="000000"/>
                <w:sz w:val="22"/>
              </w:rPr>
              <w:t xml:space="preserve">Net </w:t>
            </w:r>
            <w:r w:rsidRPr="00D1550C">
              <w:rPr>
                <w:b/>
                <w:bCs/>
                <w:color w:val="000000"/>
                <w:sz w:val="22"/>
              </w:rPr>
              <w:br/>
              <w:t>For 1</w:t>
            </w:r>
            <w:r w:rsidRPr="00D1550C">
              <w:rPr>
                <w:b/>
                <w:bCs/>
                <w:color w:val="000000"/>
                <w:vertAlign w:val="superscript"/>
              </w:rPr>
              <w:t>st</w:t>
            </w:r>
            <w:r w:rsidRPr="00D1550C">
              <w:rPr>
                <w:b/>
                <w:bCs/>
                <w:color w:val="000000"/>
                <w:sz w:val="22"/>
              </w:rPr>
              <w:t xml:space="preserve">  half 2019</w:t>
            </w:r>
          </w:p>
        </w:tc>
        <w:tc>
          <w:tcPr>
            <w:tcW w:w="1305" w:type="dxa"/>
            <w:vMerge w:val="restart"/>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 xml:space="preserve">Net </w:t>
            </w:r>
            <w:r w:rsidRPr="00D1550C">
              <w:rPr>
                <w:b/>
                <w:bCs/>
                <w:color w:val="000000"/>
                <w:sz w:val="22"/>
              </w:rPr>
              <w:br/>
              <w:t>For 1</w:t>
            </w:r>
            <w:r w:rsidRPr="00D1550C">
              <w:rPr>
                <w:b/>
                <w:bCs/>
                <w:color w:val="000000"/>
                <w:vertAlign w:val="superscript"/>
              </w:rPr>
              <w:t>st</w:t>
            </w:r>
            <w:r w:rsidRPr="00D1550C">
              <w:rPr>
                <w:b/>
                <w:bCs/>
                <w:color w:val="000000"/>
                <w:sz w:val="22"/>
              </w:rPr>
              <w:t xml:space="preserve">  half 2020</w:t>
            </w:r>
          </w:p>
        </w:tc>
        <w:tc>
          <w:tcPr>
            <w:tcW w:w="1110" w:type="dxa"/>
            <w:vMerge w:val="restart"/>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 xml:space="preserve">Net </w:t>
            </w:r>
            <w:r w:rsidRPr="00D1550C">
              <w:rPr>
                <w:b/>
                <w:bCs/>
                <w:color w:val="000000"/>
                <w:sz w:val="22"/>
              </w:rPr>
              <w:br/>
              <w:t>For 1</w:t>
            </w:r>
            <w:r w:rsidRPr="00D1550C">
              <w:rPr>
                <w:b/>
                <w:bCs/>
                <w:color w:val="000000"/>
                <w:vertAlign w:val="superscript"/>
              </w:rPr>
              <w:t>st</w:t>
            </w:r>
            <w:r w:rsidRPr="00D1550C">
              <w:rPr>
                <w:b/>
                <w:bCs/>
                <w:color w:val="000000"/>
                <w:sz w:val="22"/>
              </w:rPr>
              <w:t xml:space="preserve">  half 2021</w:t>
            </w:r>
          </w:p>
        </w:tc>
      </w:tr>
      <w:tr w:rsidR="00A85A23" w:rsidRPr="00D1550C" w:rsidTr="00462E90">
        <w:trPr>
          <w:trHeight w:val="915"/>
          <w:tblHeader/>
        </w:trPr>
        <w:tc>
          <w:tcPr>
            <w:tcW w:w="3114" w:type="dxa"/>
            <w:vMerge/>
            <w:vAlign w:val="center"/>
            <w:hideMark/>
          </w:tcPr>
          <w:p w:rsidR="00A85A23" w:rsidRPr="00D1550C" w:rsidRDefault="00A85A23" w:rsidP="000609A8">
            <w:pPr>
              <w:rPr>
                <w:b/>
                <w:bCs/>
                <w:color w:val="000000"/>
                <w:sz w:val="22"/>
              </w:rPr>
            </w:pPr>
          </w:p>
        </w:tc>
        <w:tc>
          <w:tcPr>
            <w:tcW w:w="1275" w:type="dxa"/>
            <w:shd w:val="clear" w:color="auto" w:fill="auto"/>
            <w:noWrap/>
            <w:vAlign w:val="center"/>
            <w:hideMark/>
          </w:tcPr>
          <w:p w:rsidR="00A85A23" w:rsidRPr="00D1550C" w:rsidRDefault="00A85A23" w:rsidP="00A85A23">
            <w:pPr>
              <w:jc w:val="center"/>
              <w:rPr>
                <w:b/>
                <w:bCs/>
                <w:color w:val="000000"/>
                <w:sz w:val="22"/>
              </w:rPr>
            </w:pPr>
            <w:r w:rsidRPr="00D1550C">
              <w:rPr>
                <w:b/>
                <w:bCs/>
                <w:color w:val="000000"/>
                <w:sz w:val="22"/>
              </w:rPr>
              <w:t>For 1</w:t>
            </w:r>
            <w:r w:rsidRPr="00D1550C">
              <w:rPr>
                <w:b/>
                <w:bCs/>
                <w:color w:val="000000"/>
                <w:vertAlign w:val="superscript"/>
              </w:rPr>
              <w:t>st</w:t>
            </w:r>
            <w:r w:rsidRPr="00D1550C">
              <w:rPr>
                <w:b/>
                <w:bCs/>
                <w:color w:val="000000"/>
                <w:sz w:val="22"/>
              </w:rPr>
              <w:t xml:space="preserve">  half 2019</w:t>
            </w:r>
          </w:p>
        </w:tc>
        <w:tc>
          <w:tcPr>
            <w:tcW w:w="1438" w:type="dxa"/>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For 1</w:t>
            </w:r>
            <w:r w:rsidRPr="00D1550C">
              <w:rPr>
                <w:b/>
                <w:bCs/>
                <w:color w:val="000000"/>
                <w:sz w:val="28"/>
                <w:vertAlign w:val="superscript"/>
              </w:rPr>
              <w:t>st</w:t>
            </w:r>
            <w:r w:rsidRPr="00D1550C">
              <w:rPr>
                <w:b/>
                <w:bCs/>
                <w:color w:val="000000"/>
                <w:sz w:val="22"/>
              </w:rPr>
              <w:t xml:space="preserve"> half 2020</w:t>
            </w:r>
          </w:p>
        </w:tc>
        <w:tc>
          <w:tcPr>
            <w:tcW w:w="1397" w:type="dxa"/>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For 1</w:t>
            </w:r>
            <w:r w:rsidRPr="00D1550C">
              <w:rPr>
                <w:b/>
                <w:bCs/>
                <w:color w:val="000000"/>
                <w:vertAlign w:val="superscript"/>
              </w:rPr>
              <w:t>st</w:t>
            </w:r>
            <w:r w:rsidRPr="00D1550C">
              <w:rPr>
                <w:b/>
                <w:bCs/>
                <w:color w:val="000000"/>
                <w:sz w:val="22"/>
              </w:rPr>
              <w:t xml:space="preserve">  half 2021</w:t>
            </w:r>
          </w:p>
        </w:tc>
        <w:tc>
          <w:tcPr>
            <w:tcW w:w="1418" w:type="dxa"/>
            <w:gridSpan w:val="2"/>
            <w:shd w:val="clear" w:color="auto" w:fill="auto"/>
            <w:noWrap/>
            <w:vAlign w:val="center"/>
            <w:hideMark/>
          </w:tcPr>
          <w:p w:rsidR="00A85A23" w:rsidRPr="00D1550C" w:rsidRDefault="00A85A23" w:rsidP="000609A8">
            <w:pPr>
              <w:jc w:val="center"/>
              <w:rPr>
                <w:b/>
                <w:bCs/>
                <w:color w:val="000000"/>
                <w:sz w:val="22"/>
              </w:rPr>
            </w:pPr>
            <w:r w:rsidRPr="00D1550C">
              <w:rPr>
                <w:b/>
                <w:bCs/>
                <w:color w:val="000000"/>
                <w:sz w:val="22"/>
              </w:rPr>
              <w:t>For 1</w:t>
            </w:r>
            <w:r w:rsidRPr="00D1550C">
              <w:rPr>
                <w:b/>
                <w:bCs/>
                <w:color w:val="000000"/>
                <w:vertAlign w:val="superscript"/>
              </w:rPr>
              <w:t>st</w:t>
            </w:r>
            <w:r w:rsidRPr="00D1550C">
              <w:rPr>
                <w:b/>
                <w:bCs/>
                <w:color w:val="000000"/>
                <w:sz w:val="22"/>
              </w:rPr>
              <w:t xml:space="preserve">  half 2019</w:t>
            </w:r>
          </w:p>
        </w:tc>
        <w:tc>
          <w:tcPr>
            <w:tcW w:w="1417" w:type="dxa"/>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For 1</w:t>
            </w:r>
            <w:r w:rsidRPr="00D1550C">
              <w:rPr>
                <w:b/>
                <w:bCs/>
                <w:color w:val="000000"/>
                <w:vertAlign w:val="superscript"/>
              </w:rPr>
              <w:t>st</w:t>
            </w:r>
            <w:r w:rsidRPr="00D1550C">
              <w:rPr>
                <w:b/>
                <w:bCs/>
                <w:color w:val="000000"/>
                <w:sz w:val="22"/>
              </w:rPr>
              <w:t xml:space="preserve">  half 2020</w:t>
            </w:r>
          </w:p>
        </w:tc>
        <w:tc>
          <w:tcPr>
            <w:tcW w:w="1374" w:type="dxa"/>
            <w:shd w:val="clear" w:color="auto" w:fill="auto"/>
            <w:vAlign w:val="center"/>
            <w:hideMark/>
          </w:tcPr>
          <w:p w:rsidR="00A85A23" w:rsidRPr="00D1550C" w:rsidRDefault="00A85A23" w:rsidP="00A85A23">
            <w:pPr>
              <w:jc w:val="center"/>
              <w:rPr>
                <w:b/>
                <w:bCs/>
                <w:color w:val="000000"/>
                <w:sz w:val="22"/>
              </w:rPr>
            </w:pPr>
            <w:r w:rsidRPr="00D1550C">
              <w:rPr>
                <w:b/>
                <w:bCs/>
                <w:color w:val="000000"/>
                <w:sz w:val="22"/>
              </w:rPr>
              <w:t>For 1</w:t>
            </w:r>
            <w:r w:rsidRPr="00D1550C">
              <w:rPr>
                <w:b/>
                <w:bCs/>
                <w:color w:val="000000"/>
                <w:vertAlign w:val="superscript"/>
              </w:rPr>
              <w:t>st</w:t>
            </w:r>
            <w:r w:rsidRPr="00D1550C">
              <w:rPr>
                <w:b/>
                <w:bCs/>
                <w:color w:val="000000"/>
                <w:sz w:val="22"/>
              </w:rPr>
              <w:t xml:space="preserve">  half 2021</w:t>
            </w:r>
          </w:p>
        </w:tc>
        <w:tc>
          <w:tcPr>
            <w:tcW w:w="1149" w:type="dxa"/>
            <w:vMerge/>
            <w:vAlign w:val="center"/>
            <w:hideMark/>
          </w:tcPr>
          <w:p w:rsidR="00A85A23" w:rsidRPr="00D1550C" w:rsidRDefault="00A85A23" w:rsidP="000609A8">
            <w:pPr>
              <w:jc w:val="center"/>
              <w:rPr>
                <w:b/>
                <w:bCs/>
                <w:color w:val="000000"/>
                <w:sz w:val="22"/>
              </w:rPr>
            </w:pPr>
          </w:p>
        </w:tc>
        <w:tc>
          <w:tcPr>
            <w:tcW w:w="1305" w:type="dxa"/>
            <w:vMerge/>
            <w:vAlign w:val="center"/>
            <w:hideMark/>
          </w:tcPr>
          <w:p w:rsidR="00A85A23" w:rsidRPr="00D1550C" w:rsidRDefault="00A85A23" w:rsidP="000609A8">
            <w:pPr>
              <w:jc w:val="center"/>
              <w:rPr>
                <w:b/>
                <w:bCs/>
                <w:color w:val="000000"/>
                <w:sz w:val="22"/>
              </w:rPr>
            </w:pPr>
          </w:p>
        </w:tc>
        <w:tc>
          <w:tcPr>
            <w:tcW w:w="1110" w:type="dxa"/>
            <w:vMerge/>
            <w:vAlign w:val="center"/>
            <w:hideMark/>
          </w:tcPr>
          <w:p w:rsidR="00A85A23" w:rsidRPr="00D1550C" w:rsidRDefault="00A85A23" w:rsidP="000609A8">
            <w:pPr>
              <w:jc w:val="center"/>
              <w:rPr>
                <w:b/>
                <w:bCs/>
                <w:color w:val="000000"/>
                <w:sz w:val="22"/>
              </w:rPr>
            </w:pPr>
          </w:p>
        </w:tc>
      </w:tr>
      <w:tr w:rsidR="000609A8" w:rsidRPr="00D1550C" w:rsidTr="00A85A23">
        <w:trPr>
          <w:trHeight w:val="360"/>
        </w:trPr>
        <w:tc>
          <w:tcPr>
            <w:tcW w:w="3114" w:type="dxa"/>
            <w:shd w:val="clear" w:color="000000" w:fill="BDD7EE"/>
            <w:noWrap/>
            <w:vAlign w:val="center"/>
            <w:hideMark/>
          </w:tcPr>
          <w:p w:rsidR="000609A8" w:rsidRPr="00D1550C" w:rsidRDefault="000609A8" w:rsidP="000609A8">
            <w:pPr>
              <w:rPr>
                <w:b/>
                <w:bCs/>
                <w:color w:val="000000"/>
                <w:sz w:val="22"/>
              </w:rPr>
            </w:pPr>
            <w:r w:rsidRPr="00D1550C">
              <w:rPr>
                <w:b/>
                <w:bCs/>
                <w:color w:val="000000"/>
                <w:sz w:val="22"/>
              </w:rPr>
              <w:t>TOTAL</w:t>
            </w:r>
          </w:p>
        </w:tc>
        <w:tc>
          <w:tcPr>
            <w:tcW w:w="1275"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2 592,8</w:t>
            </w:r>
          </w:p>
        </w:tc>
        <w:tc>
          <w:tcPr>
            <w:tcW w:w="1438"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2 437,1</w:t>
            </w:r>
          </w:p>
        </w:tc>
        <w:tc>
          <w:tcPr>
            <w:tcW w:w="1397"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3 330,3</w:t>
            </w:r>
          </w:p>
        </w:tc>
        <w:tc>
          <w:tcPr>
            <w:tcW w:w="1418" w:type="dxa"/>
            <w:gridSpan w:val="2"/>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467,0</w:t>
            </w:r>
          </w:p>
        </w:tc>
        <w:tc>
          <w:tcPr>
            <w:tcW w:w="1417"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426,9</w:t>
            </w:r>
          </w:p>
        </w:tc>
        <w:tc>
          <w:tcPr>
            <w:tcW w:w="1374"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708,7</w:t>
            </w:r>
          </w:p>
        </w:tc>
        <w:tc>
          <w:tcPr>
            <w:tcW w:w="1149"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2 125,9</w:t>
            </w:r>
          </w:p>
        </w:tc>
        <w:tc>
          <w:tcPr>
            <w:tcW w:w="1305"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2 010,2</w:t>
            </w:r>
          </w:p>
        </w:tc>
        <w:tc>
          <w:tcPr>
            <w:tcW w:w="1110"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2 621,6</w:t>
            </w:r>
          </w:p>
        </w:tc>
      </w:tr>
      <w:tr w:rsidR="000609A8" w:rsidRPr="00D1550C" w:rsidTr="00A85A23">
        <w:trPr>
          <w:trHeight w:val="360"/>
        </w:trPr>
        <w:tc>
          <w:tcPr>
            <w:tcW w:w="3114" w:type="dxa"/>
            <w:shd w:val="clear" w:color="000000" w:fill="BDD7EE"/>
            <w:noWrap/>
            <w:vAlign w:val="center"/>
            <w:hideMark/>
          </w:tcPr>
          <w:p w:rsidR="000609A8" w:rsidRPr="00D1550C" w:rsidRDefault="000609A8" w:rsidP="000609A8">
            <w:pPr>
              <w:rPr>
                <w:b/>
                <w:bCs/>
                <w:color w:val="000000"/>
                <w:sz w:val="22"/>
              </w:rPr>
            </w:pPr>
            <w:r w:rsidRPr="00D1550C">
              <w:rPr>
                <w:b/>
                <w:bCs/>
                <w:color w:val="000000"/>
                <w:sz w:val="22"/>
              </w:rPr>
              <w:t>CIS countries</w:t>
            </w:r>
          </w:p>
        </w:tc>
        <w:tc>
          <w:tcPr>
            <w:tcW w:w="1275"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2 159,0</w:t>
            </w:r>
          </w:p>
        </w:tc>
        <w:tc>
          <w:tcPr>
            <w:tcW w:w="1438"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1 942,3</w:t>
            </w:r>
          </w:p>
        </w:tc>
        <w:tc>
          <w:tcPr>
            <w:tcW w:w="1397"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2 590,1</w:t>
            </w:r>
          </w:p>
        </w:tc>
        <w:tc>
          <w:tcPr>
            <w:tcW w:w="1418" w:type="dxa"/>
            <w:gridSpan w:val="2"/>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254,3</w:t>
            </w:r>
          </w:p>
        </w:tc>
        <w:tc>
          <w:tcPr>
            <w:tcW w:w="1417"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237,5</w:t>
            </w:r>
          </w:p>
        </w:tc>
        <w:tc>
          <w:tcPr>
            <w:tcW w:w="1374"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346,1</w:t>
            </w:r>
          </w:p>
        </w:tc>
        <w:tc>
          <w:tcPr>
            <w:tcW w:w="1149"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1 904,7</w:t>
            </w:r>
          </w:p>
        </w:tc>
        <w:tc>
          <w:tcPr>
            <w:tcW w:w="1305"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1 704,8</w:t>
            </w:r>
          </w:p>
        </w:tc>
        <w:tc>
          <w:tcPr>
            <w:tcW w:w="1110"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2 244,0</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sz w:val="22"/>
              </w:rPr>
            </w:pPr>
            <w:r w:rsidRPr="00D1550C">
              <w:rPr>
                <w:color w:val="000000"/>
                <w:sz w:val="22"/>
              </w:rPr>
              <w:t>Russian Federation</w:t>
            </w:r>
          </w:p>
        </w:tc>
        <w:tc>
          <w:tcPr>
            <w:tcW w:w="127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1 977,2</w:t>
            </w:r>
          </w:p>
        </w:tc>
        <w:tc>
          <w:tcPr>
            <w:tcW w:w="1438"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1 745,5</w:t>
            </w:r>
          </w:p>
        </w:tc>
        <w:tc>
          <w:tcPr>
            <w:tcW w:w="139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2 245,4</w:t>
            </w:r>
          </w:p>
        </w:tc>
        <w:tc>
          <w:tcPr>
            <w:tcW w:w="1418" w:type="dxa"/>
            <w:gridSpan w:val="2"/>
            <w:shd w:val="clear" w:color="auto" w:fill="auto"/>
            <w:noWrap/>
            <w:vAlign w:val="center"/>
            <w:hideMark/>
          </w:tcPr>
          <w:p w:rsidR="000609A8" w:rsidRPr="00D1550C" w:rsidRDefault="000609A8" w:rsidP="000609A8">
            <w:pPr>
              <w:jc w:val="center"/>
              <w:rPr>
                <w:color w:val="000000"/>
                <w:sz w:val="22"/>
              </w:rPr>
            </w:pPr>
            <w:r w:rsidRPr="00D1550C">
              <w:rPr>
                <w:color w:val="000000"/>
                <w:sz w:val="22"/>
              </w:rPr>
              <w:t>165,9</w:t>
            </w:r>
          </w:p>
        </w:tc>
        <w:tc>
          <w:tcPr>
            <w:tcW w:w="141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143,1</w:t>
            </w:r>
          </w:p>
        </w:tc>
        <w:tc>
          <w:tcPr>
            <w:tcW w:w="1374"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180,1</w:t>
            </w:r>
          </w:p>
        </w:tc>
        <w:tc>
          <w:tcPr>
            <w:tcW w:w="1149"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1 811,3</w:t>
            </w:r>
          </w:p>
        </w:tc>
        <w:tc>
          <w:tcPr>
            <w:tcW w:w="130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1 602,4</w:t>
            </w:r>
          </w:p>
        </w:tc>
        <w:tc>
          <w:tcPr>
            <w:tcW w:w="1110"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2 065,4</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sz w:val="22"/>
              </w:rPr>
            </w:pPr>
            <w:r w:rsidRPr="00D1550C">
              <w:rPr>
                <w:color w:val="000000"/>
                <w:sz w:val="22"/>
              </w:rPr>
              <w:t xml:space="preserve">Kazakhstan </w:t>
            </w:r>
          </w:p>
        </w:tc>
        <w:tc>
          <w:tcPr>
            <w:tcW w:w="127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144,1</w:t>
            </w:r>
          </w:p>
        </w:tc>
        <w:tc>
          <w:tcPr>
            <w:tcW w:w="1438"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159,4</w:t>
            </w:r>
          </w:p>
        </w:tc>
        <w:tc>
          <w:tcPr>
            <w:tcW w:w="139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293,8</w:t>
            </w:r>
          </w:p>
        </w:tc>
        <w:tc>
          <w:tcPr>
            <w:tcW w:w="1418" w:type="dxa"/>
            <w:gridSpan w:val="2"/>
            <w:shd w:val="clear" w:color="auto" w:fill="auto"/>
            <w:noWrap/>
            <w:vAlign w:val="center"/>
            <w:hideMark/>
          </w:tcPr>
          <w:p w:rsidR="000609A8" w:rsidRPr="00D1550C" w:rsidRDefault="000609A8" w:rsidP="000609A8">
            <w:pPr>
              <w:jc w:val="center"/>
              <w:rPr>
                <w:color w:val="000000"/>
                <w:sz w:val="22"/>
              </w:rPr>
            </w:pPr>
            <w:r w:rsidRPr="00D1550C">
              <w:rPr>
                <w:color w:val="000000"/>
                <w:sz w:val="22"/>
              </w:rPr>
              <w:t>42,1</w:t>
            </w:r>
          </w:p>
        </w:tc>
        <w:tc>
          <w:tcPr>
            <w:tcW w:w="141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37,3</w:t>
            </w:r>
          </w:p>
        </w:tc>
        <w:tc>
          <w:tcPr>
            <w:tcW w:w="1374"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66,6</w:t>
            </w:r>
          </w:p>
        </w:tc>
        <w:tc>
          <w:tcPr>
            <w:tcW w:w="1149"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102,0</w:t>
            </w:r>
          </w:p>
        </w:tc>
        <w:tc>
          <w:tcPr>
            <w:tcW w:w="130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122,2</w:t>
            </w:r>
          </w:p>
        </w:tc>
        <w:tc>
          <w:tcPr>
            <w:tcW w:w="1110"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227,2</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sz w:val="22"/>
              </w:rPr>
            </w:pPr>
            <w:r w:rsidRPr="00D1550C">
              <w:rPr>
                <w:color w:val="000000"/>
                <w:sz w:val="22"/>
              </w:rPr>
              <w:t xml:space="preserve">Kyrgyzstan </w:t>
            </w:r>
          </w:p>
        </w:tc>
        <w:tc>
          <w:tcPr>
            <w:tcW w:w="127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16,6</w:t>
            </w:r>
          </w:p>
        </w:tc>
        <w:tc>
          <w:tcPr>
            <w:tcW w:w="1438"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17,4</w:t>
            </w:r>
          </w:p>
        </w:tc>
        <w:tc>
          <w:tcPr>
            <w:tcW w:w="139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27,3</w:t>
            </w:r>
          </w:p>
        </w:tc>
        <w:tc>
          <w:tcPr>
            <w:tcW w:w="1418" w:type="dxa"/>
            <w:gridSpan w:val="2"/>
            <w:shd w:val="clear" w:color="auto" w:fill="auto"/>
            <w:noWrap/>
            <w:vAlign w:val="center"/>
            <w:hideMark/>
          </w:tcPr>
          <w:p w:rsidR="000609A8" w:rsidRPr="00D1550C" w:rsidRDefault="000609A8" w:rsidP="000609A8">
            <w:pPr>
              <w:jc w:val="center"/>
              <w:rPr>
                <w:color w:val="000000"/>
                <w:sz w:val="22"/>
              </w:rPr>
            </w:pPr>
            <w:r w:rsidRPr="00D1550C">
              <w:rPr>
                <w:color w:val="000000"/>
                <w:sz w:val="22"/>
              </w:rPr>
              <w:t>21,4</w:t>
            </w:r>
          </w:p>
        </w:tc>
        <w:tc>
          <w:tcPr>
            <w:tcW w:w="141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35,3</w:t>
            </w:r>
          </w:p>
        </w:tc>
        <w:tc>
          <w:tcPr>
            <w:tcW w:w="1374"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68,2</w:t>
            </w:r>
          </w:p>
        </w:tc>
        <w:tc>
          <w:tcPr>
            <w:tcW w:w="1149"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-4,8</w:t>
            </w:r>
          </w:p>
        </w:tc>
        <w:tc>
          <w:tcPr>
            <w:tcW w:w="130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-17,9</w:t>
            </w:r>
          </w:p>
        </w:tc>
        <w:tc>
          <w:tcPr>
            <w:tcW w:w="1110"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-40,9</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sz w:val="22"/>
              </w:rPr>
            </w:pPr>
            <w:r w:rsidRPr="00D1550C">
              <w:rPr>
                <w:color w:val="000000"/>
                <w:sz w:val="22"/>
              </w:rPr>
              <w:t>Ukraine</w:t>
            </w:r>
          </w:p>
        </w:tc>
        <w:tc>
          <w:tcPr>
            <w:tcW w:w="127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8,7</w:t>
            </w:r>
          </w:p>
        </w:tc>
        <w:tc>
          <w:tcPr>
            <w:tcW w:w="1438"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7,0</w:t>
            </w:r>
          </w:p>
        </w:tc>
        <w:tc>
          <w:tcPr>
            <w:tcW w:w="139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10,7</w:t>
            </w:r>
          </w:p>
        </w:tc>
        <w:tc>
          <w:tcPr>
            <w:tcW w:w="1418" w:type="dxa"/>
            <w:gridSpan w:val="2"/>
            <w:shd w:val="clear" w:color="auto" w:fill="auto"/>
            <w:noWrap/>
            <w:vAlign w:val="center"/>
            <w:hideMark/>
          </w:tcPr>
          <w:p w:rsidR="000609A8" w:rsidRPr="00D1550C" w:rsidRDefault="000609A8" w:rsidP="000609A8">
            <w:pPr>
              <w:jc w:val="center"/>
              <w:rPr>
                <w:color w:val="000000"/>
                <w:sz w:val="22"/>
              </w:rPr>
            </w:pPr>
            <w:r w:rsidRPr="00D1550C">
              <w:rPr>
                <w:color w:val="000000"/>
                <w:sz w:val="22"/>
              </w:rPr>
              <w:t>10,9</w:t>
            </w:r>
          </w:p>
        </w:tc>
        <w:tc>
          <w:tcPr>
            <w:tcW w:w="141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10,1</w:t>
            </w:r>
          </w:p>
        </w:tc>
        <w:tc>
          <w:tcPr>
            <w:tcW w:w="1374"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12,7</w:t>
            </w:r>
          </w:p>
        </w:tc>
        <w:tc>
          <w:tcPr>
            <w:tcW w:w="1149"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-2,2</w:t>
            </w:r>
          </w:p>
        </w:tc>
        <w:tc>
          <w:tcPr>
            <w:tcW w:w="130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-3,1</w:t>
            </w:r>
          </w:p>
        </w:tc>
        <w:tc>
          <w:tcPr>
            <w:tcW w:w="1110"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-2,0</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sz w:val="22"/>
              </w:rPr>
            </w:pPr>
            <w:r w:rsidRPr="00D1550C">
              <w:rPr>
                <w:color w:val="000000"/>
                <w:sz w:val="22"/>
              </w:rPr>
              <w:t>Azerbaijan</w:t>
            </w:r>
          </w:p>
        </w:tc>
        <w:tc>
          <w:tcPr>
            <w:tcW w:w="127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1,8</w:t>
            </w:r>
          </w:p>
        </w:tc>
        <w:tc>
          <w:tcPr>
            <w:tcW w:w="1438"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1,9</w:t>
            </w:r>
          </w:p>
        </w:tc>
        <w:tc>
          <w:tcPr>
            <w:tcW w:w="139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1,5</w:t>
            </w:r>
          </w:p>
        </w:tc>
        <w:tc>
          <w:tcPr>
            <w:tcW w:w="1418" w:type="dxa"/>
            <w:gridSpan w:val="2"/>
            <w:shd w:val="clear" w:color="auto" w:fill="auto"/>
            <w:noWrap/>
            <w:vAlign w:val="center"/>
            <w:hideMark/>
          </w:tcPr>
          <w:p w:rsidR="000609A8" w:rsidRPr="00D1550C" w:rsidRDefault="000609A8" w:rsidP="000609A8">
            <w:pPr>
              <w:jc w:val="center"/>
              <w:rPr>
                <w:color w:val="000000"/>
                <w:sz w:val="22"/>
              </w:rPr>
            </w:pPr>
            <w:r w:rsidRPr="00D1550C">
              <w:rPr>
                <w:color w:val="000000"/>
                <w:sz w:val="22"/>
              </w:rPr>
              <w:t>5,7</w:t>
            </w:r>
          </w:p>
        </w:tc>
        <w:tc>
          <w:tcPr>
            <w:tcW w:w="141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4,1</w:t>
            </w:r>
          </w:p>
        </w:tc>
        <w:tc>
          <w:tcPr>
            <w:tcW w:w="1374"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6,0</w:t>
            </w:r>
          </w:p>
        </w:tc>
        <w:tc>
          <w:tcPr>
            <w:tcW w:w="1149"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-3,8</w:t>
            </w:r>
          </w:p>
        </w:tc>
        <w:tc>
          <w:tcPr>
            <w:tcW w:w="130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-2,1</w:t>
            </w:r>
          </w:p>
        </w:tc>
        <w:tc>
          <w:tcPr>
            <w:tcW w:w="1110"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-4,5</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sz w:val="22"/>
              </w:rPr>
            </w:pPr>
            <w:r w:rsidRPr="00D1550C">
              <w:rPr>
                <w:color w:val="000000"/>
                <w:sz w:val="22"/>
              </w:rPr>
              <w:t>Tajikistan</w:t>
            </w:r>
          </w:p>
        </w:tc>
        <w:tc>
          <w:tcPr>
            <w:tcW w:w="127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4,4</w:t>
            </w:r>
          </w:p>
        </w:tc>
        <w:tc>
          <w:tcPr>
            <w:tcW w:w="1438"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2,8</w:t>
            </w:r>
          </w:p>
        </w:tc>
        <w:tc>
          <w:tcPr>
            <w:tcW w:w="139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5,3</w:t>
            </w:r>
          </w:p>
        </w:tc>
        <w:tc>
          <w:tcPr>
            <w:tcW w:w="1418" w:type="dxa"/>
            <w:gridSpan w:val="2"/>
            <w:shd w:val="clear" w:color="auto" w:fill="auto"/>
            <w:noWrap/>
            <w:vAlign w:val="center"/>
            <w:hideMark/>
          </w:tcPr>
          <w:p w:rsidR="000609A8" w:rsidRPr="00D1550C" w:rsidRDefault="000609A8" w:rsidP="000609A8">
            <w:pPr>
              <w:jc w:val="center"/>
              <w:rPr>
                <w:color w:val="000000"/>
                <w:sz w:val="22"/>
              </w:rPr>
            </w:pPr>
            <w:r w:rsidRPr="00D1550C">
              <w:rPr>
                <w:color w:val="000000"/>
                <w:sz w:val="22"/>
              </w:rPr>
              <w:t>3,4</w:t>
            </w:r>
          </w:p>
        </w:tc>
        <w:tc>
          <w:tcPr>
            <w:tcW w:w="141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3,1</w:t>
            </w:r>
          </w:p>
        </w:tc>
        <w:tc>
          <w:tcPr>
            <w:tcW w:w="1374"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7,1</w:t>
            </w:r>
          </w:p>
        </w:tc>
        <w:tc>
          <w:tcPr>
            <w:tcW w:w="1149"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0,9</w:t>
            </w:r>
          </w:p>
        </w:tc>
        <w:tc>
          <w:tcPr>
            <w:tcW w:w="130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-0,3</w:t>
            </w:r>
          </w:p>
        </w:tc>
        <w:tc>
          <w:tcPr>
            <w:tcW w:w="1110"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-1,8</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sz w:val="22"/>
              </w:rPr>
            </w:pPr>
            <w:r w:rsidRPr="00D1550C">
              <w:rPr>
                <w:color w:val="000000"/>
                <w:sz w:val="22"/>
              </w:rPr>
              <w:t>Belarus</w:t>
            </w:r>
          </w:p>
        </w:tc>
        <w:tc>
          <w:tcPr>
            <w:tcW w:w="127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3,4</w:t>
            </w:r>
          </w:p>
        </w:tc>
        <w:tc>
          <w:tcPr>
            <w:tcW w:w="1438"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4,3</w:t>
            </w:r>
          </w:p>
        </w:tc>
        <w:tc>
          <w:tcPr>
            <w:tcW w:w="139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4,3</w:t>
            </w:r>
          </w:p>
        </w:tc>
        <w:tc>
          <w:tcPr>
            <w:tcW w:w="1418" w:type="dxa"/>
            <w:gridSpan w:val="2"/>
            <w:shd w:val="clear" w:color="auto" w:fill="auto"/>
            <w:noWrap/>
            <w:vAlign w:val="center"/>
            <w:hideMark/>
          </w:tcPr>
          <w:p w:rsidR="000609A8" w:rsidRPr="00D1550C" w:rsidRDefault="000609A8" w:rsidP="000609A8">
            <w:pPr>
              <w:jc w:val="center"/>
              <w:rPr>
                <w:color w:val="000000"/>
                <w:sz w:val="22"/>
              </w:rPr>
            </w:pPr>
            <w:r w:rsidRPr="00D1550C">
              <w:rPr>
                <w:color w:val="000000"/>
                <w:sz w:val="22"/>
              </w:rPr>
              <w:t>3,1</w:t>
            </w:r>
          </w:p>
        </w:tc>
        <w:tc>
          <w:tcPr>
            <w:tcW w:w="141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2,6</w:t>
            </w:r>
          </w:p>
        </w:tc>
        <w:tc>
          <w:tcPr>
            <w:tcW w:w="1374"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3,0</w:t>
            </w:r>
          </w:p>
        </w:tc>
        <w:tc>
          <w:tcPr>
            <w:tcW w:w="1149"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0,2</w:t>
            </w:r>
          </w:p>
        </w:tc>
        <w:tc>
          <w:tcPr>
            <w:tcW w:w="130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1,8</w:t>
            </w:r>
          </w:p>
        </w:tc>
        <w:tc>
          <w:tcPr>
            <w:tcW w:w="1110"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1,3</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sz w:val="22"/>
              </w:rPr>
            </w:pPr>
            <w:r w:rsidRPr="00D1550C">
              <w:rPr>
                <w:color w:val="000000"/>
                <w:sz w:val="22"/>
              </w:rPr>
              <w:t>Armenia</w:t>
            </w:r>
          </w:p>
        </w:tc>
        <w:tc>
          <w:tcPr>
            <w:tcW w:w="127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0,5</w:t>
            </w:r>
          </w:p>
        </w:tc>
        <w:tc>
          <w:tcPr>
            <w:tcW w:w="1438"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1,9</w:t>
            </w:r>
          </w:p>
        </w:tc>
        <w:tc>
          <w:tcPr>
            <w:tcW w:w="139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1,1</w:t>
            </w:r>
          </w:p>
        </w:tc>
        <w:tc>
          <w:tcPr>
            <w:tcW w:w="1418" w:type="dxa"/>
            <w:gridSpan w:val="2"/>
            <w:shd w:val="clear" w:color="auto" w:fill="auto"/>
            <w:noWrap/>
            <w:vAlign w:val="center"/>
            <w:hideMark/>
          </w:tcPr>
          <w:p w:rsidR="000609A8" w:rsidRPr="00D1550C" w:rsidRDefault="000609A8" w:rsidP="000609A8">
            <w:pPr>
              <w:jc w:val="center"/>
              <w:rPr>
                <w:color w:val="000000"/>
                <w:sz w:val="22"/>
              </w:rPr>
            </w:pPr>
            <w:r w:rsidRPr="00D1550C">
              <w:rPr>
                <w:color w:val="000000"/>
                <w:sz w:val="22"/>
              </w:rPr>
              <w:t>1,8</w:t>
            </w:r>
          </w:p>
        </w:tc>
        <w:tc>
          <w:tcPr>
            <w:tcW w:w="141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1,9</w:t>
            </w:r>
          </w:p>
        </w:tc>
        <w:tc>
          <w:tcPr>
            <w:tcW w:w="1374"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2,4</w:t>
            </w:r>
          </w:p>
        </w:tc>
        <w:tc>
          <w:tcPr>
            <w:tcW w:w="1149"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-1,3</w:t>
            </w:r>
          </w:p>
        </w:tc>
        <w:tc>
          <w:tcPr>
            <w:tcW w:w="130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-0,0</w:t>
            </w:r>
          </w:p>
        </w:tc>
        <w:tc>
          <w:tcPr>
            <w:tcW w:w="1110"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-1,3</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sz w:val="22"/>
              </w:rPr>
            </w:pPr>
            <w:r w:rsidRPr="00D1550C">
              <w:rPr>
                <w:color w:val="000000"/>
                <w:sz w:val="22"/>
              </w:rPr>
              <w:t>Turkmenistan</w:t>
            </w:r>
          </w:p>
        </w:tc>
        <w:tc>
          <w:tcPr>
            <w:tcW w:w="127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2,3</w:t>
            </w:r>
          </w:p>
        </w:tc>
        <w:tc>
          <w:tcPr>
            <w:tcW w:w="1438"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2,0</w:t>
            </w:r>
          </w:p>
        </w:tc>
        <w:tc>
          <w:tcPr>
            <w:tcW w:w="139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0,7</w:t>
            </w:r>
          </w:p>
        </w:tc>
        <w:tc>
          <w:tcPr>
            <w:tcW w:w="1418" w:type="dxa"/>
            <w:gridSpan w:val="2"/>
            <w:shd w:val="clear" w:color="auto" w:fill="auto"/>
            <w:noWrap/>
            <w:vAlign w:val="center"/>
            <w:hideMark/>
          </w:tcPr>
          <w:p w:rsidR="000609A8" w:rsidRPr="00D1550C" w:rsidRDefault="000609A8" w:rsidP="000609A8">
            <w:pPr>
              <w:jc w:val="center"/>
              <w:rPr>
                <w:color w:val="000000"/>
                <w:sz w:val="22"/>
              </w:rPr>
            </w:pPr>
            <w:r w:rsidRPr="00D1550C">
              <w:rPr>
                <w:color w:val="000000"/>
                <w:sz w:val="22"/>
              </w:rPr>
              <w:t>0,0</w:t>
            </w:r>
          </w:p>
        </w:tc>
        <w:tc>
          <w:tcPr>
            <w:tcW w:w="1417"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0,0</w:t>
            </w:r>
          </w:p>
        </w:tc>
        <w:tc>
          <w:tcPr>
            <w:tcW w:w="1374"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0,0</w:t>
            </w:r>
          </w:p>
        </w:tc>
        <w:tc>
          <w:tcPr>
            <w:tcW w:w="1149"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2,3</w:t>
            </w:r>
          </w:p>
        </w:tc>
        <w:tc>
          <w:tcPr>
            <w:tcW w:w="1305"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2,0</w:t>
            </w:r>
          </w:p>
        </w:tc>
        <w:tc>
          <w:tcPr>
            <w:tcW w:w="1110" w:type="dxa"/>
            <w:shd w:val="clear" w:color="auto" w:fill="auto"/>
            <w:noWrap/>
            <w:vAlign w:val="center"/>
            <w:hideMark/>
          </w:tcPr>
          <w:p w:rsidR="000609A8" w:rsidRPr="00D1550C" w:rsidRDefault="000609A8" w:rsidP="000609A8">
            <w:pPr>
              <w:jc w:val="center"/>
              <w:rPr>
                <w:color w:val="000000"/>
                <w:sz w:val="22"/>
              </w:rPr>
            </w:pPr>
            <w:r w:rsidRPr="00D1550C">
              <w:rPr>
                <w:color w:val="000000"/>
                <w:sz w:val="22"/>
              </w:rPr>
              <w:t>0,7</w:t>
            </w:r>
          </w:p>
        </w:tc>
      </w:tr>
      <w:tr w:rsidR="000609A8" w:rsidRPr="00D1550C" w:rsidTr="00A85A23">
        <w:trPr>
          <w:trHeight w:val="360"/>
        </w:trPr>
        <w:tc>
          <w:tcPr>
            <w:tcW w:w="3114" w:type="dxa"/>
            <w:shd w:val="clear" w:color="000000" w:fill="BDD7EE"/>
            <w:noWrap/>
            <w:vAlign w:val="center"/>
            <w:hideMark/>
          </w:tcPr>
          <w:p w:rsidR="000609A8" w:rsidRPr="00D1550C" w:rsidRDefault="000609A8" w:rsidP="000609A8">
            <w:pPr>
              <w:rPr>
                <w:b/>
                <w:bCs/>
                <w:color w:val="000000"/>
                <w:sz w:val="22"/>
              </w:rPr>
            </w:pPr>
            <w:r w:rsidRPr="00D1550C">
              <w:rPr>
                <w:b/>
                <w:bCs/>
                <w:color w:val="000000"/>
                <w:sz w:val="22"/>
              </w:rPr>
              <w:t>Other countries</w:t>
            </w:r>
          </w:p>
        </w:tc>
        <w:tc>
          <w:tcPr>
            <w:tcW w:w="1275"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433,9</w:t>
            </w:r>
          </w:p>
        </w:tc>
        <w:tc>
          <w:tcPr>
            <w:tcW w:w="1438"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494,8</w:t>
            </w:r>
          </w:p>
        </w:tc>
        <w:tc>
          <w:tcPr>
            <w:tcW w:w="1397"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740,2</w:t>
            </w:r>
          </w:p>
        </w:tc>
        <w:tc>
          <w:tcPr>
            <w:tcW w:w="1418" w:type="dxa"/>
            <w:gridSpan w:val="2"/>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212,7</w:t>
            </w:r>
          </w:p>
        </w:tc>
        <w:tc>
          <w:tcPr>
            <w:tcW w:w="1417"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189,4</w:t>
            </w:r>
          </w:p>
        </w:tc>
        <w:tc>
          <w:tcPr>
            <w:tcW w:w="1374"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362,6</w:t>
            </w:r>
          </w:p>
        </w:tc>
        <w:tc>
          <w:tcPr>
            <w:tcW w:w="1149"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221,2</w:t>
            </w:r>
          </w:p>
        </w:tc>
        <w:tc>
          <w:tcPr>
            <w:tcW w:w="1305"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305,4</w:t>
            </w:r>
          </w:p>
        </w:tc>
        <w:tc>
          <w:tcPr>
            <w:tcW w:w="1110" w:type="dxa"/>
            <w:shd w:val="clear" w:color="000000" w:fill="BDD7EE"/>
            <w:noWrap/>
            <w:vAlign w:val="center"/>
            <w:hideMark/>
          </w:tcPr>
          <w:p w:rsidR="000609A8" w:rsidRPr="00D1550C" w:rsidRDefault="000609A8" w:rsidP="000609A8">
            <w:pPr>
              <w:jc w:val="center"/>
              <w:rPr>
                <w:b/>
                <w:bCs/>
                <w:color w:val="000000"/>
                <w:sz w:val="22"/>
              </w:rPr>
            </w:pPr>
            <w:r w:rsidRPr="00D1550C">
              <w:rPr>
                <w:b/>
                <w:bCs/>
                <w:color w:val="000000"/>
                <w:sz w:val="22"/>
              </w:rPr>
              <w:t>377,6</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Turkey</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97,8</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88,3</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109,7</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80,5</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101,9</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211,0</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17,3</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-13,6</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-101,3</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Poland</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2,4</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3,5</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3,9</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24,8</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6,0</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17,3</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-22,4</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-2,5</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-13,5</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China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8,8</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5,3</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3,7</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27,6</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25,6</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42,3</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-18,8</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-20,3</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-38,7</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Lithuania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0,7</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0,8</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1,5</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15,1</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2,1</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4,5</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-14,5</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-1,3</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-3,0</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USA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102,6</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105,2</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230,7</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9,3</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6,8</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11,9</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93,4</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98,4</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218,8</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Korea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75,8</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110,5</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164,2</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10,3</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13,8</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26,5</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65,5</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96,7</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137,7</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UAE</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18,7</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17,4</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21,6</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7,3</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2,1</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3,9</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11,4</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15,4</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17,8</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lastRenderedPageBreak/>
              <w:t>Germany</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5,9</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5,6</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8,7</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4,2</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4,1</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7,5</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1,7</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1,5</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1,2</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Czech</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3,0</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3,8</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6,5</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3,6</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1,5</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1,3</w:t>
            </w:r>
          </w:p>
        </w:tc>
        <w:tc>
          <w:tcPr>
            <w:tcW w:w="1149" w:type="dxa"/>
            <w:shd w:val="clear" w:color="auto" w:fill="auto"/>
            <w:noWrap/>
            <w:vAlign w:val="center"/>
            <w:hideMark/>
          </w:tcPr>
          <w:p w:rsidR="000609A8" w:rsidRPr="00D1550C" w:rsidRDefault="000609A8" w:rsidP="00692359">
            <w:pPr>
              <w:jc w:val="center"/>
              <w:rPr>
                <w:color w:val="000000"/>
              </w:rPr>
            </w:pPr>
            <w:r w:rsidRPr="00D1550C">
              <w:rPr>
                <w:color w:val="000000"/>
              </w:rPr>
              <w:t>-0,6</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2,2</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5,2</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Latvia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1,7</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1,7</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2,7</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3,1</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1,5</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1,6</w:t>
            </w:r>
          </w:p>
        </w:tc>
        <w:tc>
          <w:tcPr>
            <w:tcW w:w="1149" w:type="dxa"/>
            <w:shd w:val="clear" w:color="auto" w:fill="auto"/>
            <w:noWrap/>
            <w:vAlign w:val="center"/>
            <w:hideMark/>
          </w:tcPr>
          <w:p w:rsidR="000609A8" w:rsidRPr="00D1550C" w:rsidRDefault="000609A8" w:rsidP="00692359">
            <w:pPr>
              <w:jc w:val="center"/>
              <w:rPr>
                <w:color w:val="000000"/>
              </w:rPr>
            </w:pPr>
            <w:r w:rsidRPr="00D1550C">
              <w:rPr>
                <w:color w:val="000000"/>
              </w:rPr>
              <w:t>-1,4</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1,2</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Japan</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5,6</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5,0</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3,6</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3,5</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2,4</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2,2</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2,2</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2,6</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1,4</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Great Britain</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7,2</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4,0</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10,6</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2,6</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2,6</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3,8</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4,6</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1,4</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6,9</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Georgia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3,9</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2,8</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2,8</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2,0</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3,0</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4,4</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1,9</w:t>
            </w:r>
          </w:p>
        </w:tc>
        <w:tc>
          <w:tcPr>
            <w:tcW w:w="1305" w:type="dxa"/>
            <w:shd w:val="clear" w:color="auto" w:fill="auto"/>
            <w:noWrap/>
            <w:vAlign w:val="center"/>
            <w:hideMark/>
          </w:tcPr>
          <w:p w:rsidR="000609A8" w:rsidRPr="00D1550C" w:rsidRDefault="000609A8" w:rsidP="00692359">
            <w:pPr>
              <w:jc w:val="center"/>
              <w:rPr>
                <w:color w:val="000000"/>
              </w:rPr>
            </w:pPr>
            <w:r w:rsidRPr="00D1550C">
              <w:rPr>
                <w:color w:val="000000"/>
              </w:rPr>
              <w:t>-0,2</w:t>
            </w:r>
          </w:p>
        </w:tc>
        <w:tc>
          <w:tcPr>
            <w:tcW w:w="1110" w:type="dxa"/>
            <w:shd w:val="clear" w:color="auto" w:fill="auto"/>
            <w:noWrap/>
            <w:vAlign w:val="center"/>
            <w:hideMark/>
          </w:tcPr>
          <w:p w:rsidR="000609A8" w:rsidRPr="00D1550C" w:rsidRDefault="000609A8" w:rsidP="00692359">
            <w:pPr>
              <w:jc w:val="center"/>
              <w:rPr>
                <w:color w:val="000000"/>
              </w:rPr>
            </w:pPr>
            <w:r w:rsidRPr="00D1550C">
              <w:rPr>
                <w:color w:val="000000"/>
              </w:rPr>
              <w:t>-1,6</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Israel</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38,6</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59,4</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73,6</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1,9</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1,7</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3,4</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36,7</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57,8</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70,2</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India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0,9</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0,8</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1,0</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1,6</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1,5</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1,9</w:t>
            </w:r>
          </w:p>
        </w:tc>
        <w:tc>
          <w:tcPr>
            <w:tcW w:w="1149" w:type="dxa"/>
            <w:shd w:val="clear" w:color="auto" w:fill="auto"/>
            <w:noWrap/>
            <w:vAlign w:val="center"/>
            <w:hideMark/>
          </w:tcPr>
          <w:p w:rsidR="000609A8" w:rsidRPr="00D1550C" w:rsidRDefault="000609A8" w:rsidP="00692359">
            <w:pPr>
              <w:jc w:val="center"/>
              <w:rPr>
                <w:color w:val="000000"/>
              </w:rPr>
            </w:pPr>
            <w:r w:rsidRPr="00D1550C">
              <w:rPr>
                <w:color w:val="000000"/>
              </w:rPr>
              <w:t>-0,7</w:t>
            </w:r>
          </w:p>
        </w:tc>
        <w:tc>
          <w:tcPr>
            <w:tcW w:w="1305" w:type="dxa"/>
            <w:shd w:val="clear" w:color="auto" w:fill="auto"/>
            <w:noWrap/>
            <w:vAlign w:val="center"/>
            <w:hideMark/>
          </w:tcPr>
          <w:p w:rsidR="000609A8" w:rsidRPr="00D1550C" w:rsidRDefault="00692359" w:rsidP="00692359">
            <w:pPr>
              <w:jc w:val="center"/>
              <w:rPr>
                <w:color w:val="000000"/>
              </w:rPr>
            </w:pPr>
            <w:r w:rsidRPr="00D1550C">
              <w:rPr>
                <w:color w:val="000000"/>
              </w:rPr>
              <w:t>-</w:t>
            </w:r>
            <w:r w:rsidR="000609A8" w:rsidRPr="00D1550C">
              <w:rPr>
                <w:color w:val="000000"/>
              </w:rPr>
              <w:t>0,7</w:t>
            </w:r>
          </w:p>
        </w:tc>
        <w:tc>
          <w:tcPr>
            <w:tcW w:w="1110" w:type="dxa"/>
            <w:shd w:val="clear" w:color="auto" w:fill="auto"/>
            <w:noWrap/>
            <w:vAlign w:val="center"/>
            <w:hideMark/>
          </w:tcPr>
          <w:p w:rsidR="000609A8" w:rsidRPr="00D1550C" w:rsidRDefault="000609A8" w:rsidP="00692359">
            <w:pPr>
              <w:jc w:val="center"/>
              <w:rPr>
                <w:color w:val="000000"/>
              </w:rPr>
            </w:pPr>
            <w:r w:rsidRPr="00D1550C">
              <w:rPr>
                <w:color w:val="000000"/>
              </w:rPr>
              <w:t>-1,0</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Canada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2,2</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1,8</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3,4</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1,4</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0,8</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0,8</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0,8</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1,0</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2,6</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Moldova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0,5</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0,5</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0,6</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1,6</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0,8</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0,9</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-1,1</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-0,3</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Netherlands</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2,3</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3,0</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5,4</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0,4</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0,5</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1,4</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2,0</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2,5</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4,0</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Switzerland</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1,9</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2,4</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2,9</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0,4</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0,5</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0,8</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1,5</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1,9</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2,0</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Thailand</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3,2</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1,3</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1,0</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0,5</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0,6</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0,5</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2,7</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0,7</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0,5</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Hong-Kong, China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0,6</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1,5</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0,5</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0,4</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1,4</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0,4</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Australia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1,2</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1,6</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3,1</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0,3</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0,4</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0,4</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1,0</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1,2</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2,7</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Sweden</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15,4</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18,2</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24,4</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0,1</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15,1</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18,1</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24,2</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Kuwait</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1,2</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1,3</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1,8</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0,3</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0,0</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0,0</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0,9</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1,2</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1,7</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Saudi Arabia</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1,7</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2,1</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4,2</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0,0</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0,1</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1,5</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2,0</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4,1</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Singapore</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2,7</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1,6</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0,6</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0,2</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0,6</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2,5</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1,4</w:t>
            </w:r>
          </w:p>
        </w:tc>
        <w:tc>
          <w:tcPr>
            <w:tcW w:w="1110" w:type="dxa"/>
            <w:shd w:val="clear" w:color="auto" w:fill="auto"/>
            <w:noWrap/>
            <w:vAlign w:val="center"/>
            <w:hideMark/>
          </w:tcPr>
          <w:p w:rsidR="000609A8" w:rsidRPr="00D1550C" w:rsidRDefault="000609A8" w:rsidP="00692359">
            <w:pPr>
              <w:jc w:val="center"/>
              <w:rPr>
                <w:color w:val="000000"/>
              </w:rPr>
            </w:pPr>
            <w:r w:rsidRPr="00D1550C">
              <w:rPr>
                <w:color w:val="000000"/>
              </w:rPr>
              <w:t>-0,0</w:t>
            </w:r>
          </w:p>
        </w:tc>
      </w:tr>
      <w:tr w:rsidR="000609A8" w:rsidRPr="00D1550C" w:rsidTr="00A85A23">
        <w:trPr>
          <w:trHeight w:val="360"/>
        </w:trPr>
        <w:tc>
          <w:tcPr>
            <w:tcW w:w="3114" w:type="dxa"/>
            <w:shd w:val="clear" w:color="auto" w:fill="auto"/>
            <w:noWrap/>
            <w:vAlign w:val="center"/>
            <w:hideMark/>
          </w:tcPr>
          <w:p w:rsidR="000609A8" w:rsidRPr="00D1550C" w:rsidRDefault="000609A8" w:rsidP="000609A8">
            <w:pPr>
              <w:rPr>
                <w:color w:val="000000"/>
              </w:rPr>
            </w:pPr>
            <w:r w:rsidRPr="00D1550C">
              <w:rPr>
                <w:color w:val="000000"/>
              </w:rPr>
              <w:t>Qatar</w:t>
            </w:r>
          </w:p>
        </w:tc>
        <w:tc>
          <w:tcPr>
            <w:tcW w:w="1275" w:type="dxa"/>
            <w:shd w:val="clear" w:color="auto" w:fill="auto"/>
            <w:noWrap/>
            <w:vAlign w:val="center"/>
            <w:hideMark/>
          </w:tcPr>
          <w:p w:rsidR="000609A8" w:rsidRPr="00D1550C" w:rsidRDefault="000609A8" w:rsidP="000609A8">
            <w:pPr>
              <w:jc w:val="center"/>
              <w:rPr>
                <w:color w:val="000000"/>
              </w:rPr>
            </w:pPr>
            <w:r w:rsidRPr="00D1550C">
              <w:rPr>
                <w:color w:val="000000"/>
              </w:rPr>
              <w:t>1,6</w:t>
            </w:r>
          </w:p>
        </w:tc>
        <w:tc>
          <w:tcPr>
            <w:tcW w:w="1438" w:type="dxa"/>
            <w:shd w:val="clear" w:color="auto" w:fill="auto"/>
            <w:noWrap/>
            <w:vAlign w:val="center"/>
            <w:hideMark/>
          </w:tcPr>
          <w:p w:rsidR="000609A8" w:rsidRPr="00D1550C" w:rsidRDefault="000609A8" w:rsidP="000609A8">
            <w:pPr>
              <w:jc w:val="center"/>
              <w:rPr>
                <w:color w:val="000000"/>
              </w:rPr>
            </w:pPr>
            <w:r w:rsidRPr="00D1550C">
              <w:rPr>
                <w:color w:val="000000"/>
              </w:rPr>
              <w:t>2,0</w:t>
            </w:r>
          </w:p>
        </w:tc>
        <w:tc>
          <w:tcPr>
            <w:tcW w:w="1397" w:type="dxa"/>
            <w:shd w:val="clear" w:color="auto" w:fill="auto"/>
            <w:noWrap/>
            <w:vAlign w:val="center"/>
            <w:hideMark/>
          </w:tcPr>
          <w:p w:rsidR="000609A8" w:rsidRPr="00D1550C" w:rsidRDefault="000609A8" w:rsidP="000609A8">
            <w:pPr>
              <w:jc w:val="center"/>
              <w:rPr>
                <w:color w:val="000000"/>
              </w:rPr>
            </w:pPr>
            <w:r w:rsidRPr="00D1550C">
              <w:rPr>
                <w:color w:val="000000"/>
              </w:rPr>
              <w:t>1,8</w:t>
            </w:r>
          </w:p>
        </w:tc>
        <w:tc>
          <w:tcPr>
            <w:tcW w:w="1418" w:type="dxa"/>
            <w:gridSpan w:val="2"/>
            <w:shd w:val="clear" w:color="auto" w:fill="auto"/>
            <w:noWrap/>
            <w:vAlign w:val="center"/>
            <w:hideMark/>
          </w:tcPr>
          <w:p w:rsidR="000609A8" w:rsidRPr="00D1550C" w:rsidRDefault="000609A8" w:rsidP="000609A8">
            <w:pPr>
              <w:jc w:val="center"/>
              <w:rPr>
                <w:color w:val="000000"/>
              </w:rPr>
            </w:pPr>
            <w:r w:rsidRPr="00D1550C">
              <w:rPr>
                <w:color w:val="000000"/>
              </w:rPr>
              <w:t>0,0</w:t>
            </w:r>
          </w:p>
        </w:tc>
        <w:tc>
          <w:tcPr>
            <w:tcW w:w="1417" w:type="dxa"/>
            <w:shd w:val="clear" w:color="auto" w:fill="auto"/>
            <w:noWrap/>
            <w:vAlign w:val="center"/>
            <w:hideMark/>
          </w:tcPr>
          <w:p w:rsidR="000609A8" w:rsidRPr="00D1550C" w:rsidRDefault="000609A8" w:rsidP="000609A8">
            <w:pPr>
              <w:jc w:val="center"/>
              <w:rPr>
                <w:color w:val="000000"/>
              </w:rPr>
            </w:pPr>
            <w:r w:rsidRPr="00D1550C">
              <w:rPr>
                <w:color w:val="000000"/>
              </w:rPr>
              <w:t>0,1</w:t>
            </w:r>
          </w:p>
        </w:tc>
        <w:tc>
          <w:tcPr>
            <w:tcW w:w="1374" w:type="dxa"/>
            <w:shd w:val="clear" w:color="auto" w:fill="auto"/>
            <w:noWrap/>
            <w:vAlign w:val="center"/>
            <w:hideMark/>
          </w:tcPr>
          <w:p w:rsidR="000609A8" w:rsidRPr="00D1550C" w:rsidRDefault="000609A8" w:rsidP="000609A8">
            <w:pPr>
              <w:jc w:val="center"/>
              <w:rPr>
                <w:color w:val="000000"/>
              </w:rPr>
            </w:pPr>
            <w:r w:rsidRPr="00D1550C">
              <w:rPr>
                <w:color w:val="000000"/>
              </w:rPr>
              <w:t>0,0</w:t>
            </w:r>
          </w:p>
        </w:tc>
        <w:tc>
          <w:tcPr>
            <w:tcW w:w="1149" w:type="dxa"/>
            <w:shd w:val="clear" w:color="auto" w:fill="auto"/>
            <w:noWrap/>
            <w:vAlign w:val="center"/>
            <w:hideMark/>
          </w:tcPr>
          <w:p w:rsidR="000609A8" w:rsidRPr="00D1550C" w:rsidRDefault="000609A8" w:rsidP="000609A8">
            <w:pPr>
              <w:jc w:val="center"/>
              <w:rPr>
                <w:color w:val="000000"/>
              </w:rPr>
            </w:pPr>
            <w:r w:rsidRPr="00D1550C">
              <w:rPr>
                <w:color w:val="000000"/>
              </w:rPr>
              <w:t>1,5</w:t>
            </w:r>
          </w:p>
        </w:tc>
        <w:tc>
          <w:tcPr>
            <w:tcW w:w="1305" w:type="dxa"/>
            <w:shd w:val="clear" w:color="auto" w:fill="auto"/>
            <w:noWrap/>
            <w:vAlign w:val="center"/>
            <w:hideMark/>
          </w:tcPr>
          <w:p w:rsidR="000609A8" w:rsidRPr="00D1550C" w:rsidRDefault="000609A8" w:rsidP="000609A8">
            <w:pPr>
              <w:jc w:val="center"/>
              <w:rPr>
                <w:color w:val="000000"/>
              </w:rPr>
            </w:pPr>
            <w:r w:rsidRPr="00D1550C">
              <w:rPr>
                <w:color w:val="000000"/>
              </w:rPr>
              <w:t>1,9</w:t>
            </w:r>
          </w:p>
        </w:tc>
        <w:tc>
          <w:tcPr>
            <w:tcW w:w="1110" w:type="dxa"/>
            <w:shd w:val="clear" w:color="auto" w:fill="auto"/>
            <w:noWrap/>
            <w:vAlign w:val="center"/>
            <w:hideMark/>
          </w:tcPr>
          <w:p w:rsidR="000609A8" w:rsidRPr="00D1550C" w:rsidRDefault="000609A8" w:rsidP="000609A8">
            <w:pPr>
              <w:jc w:val="center"/>
              <w:rPr>
                <w:color w:val="000000"/>
              </w:rPr>
            </w:pPr>
            <w:r w:rsidRPr="00D1550C">
              <w:rPr>
                <w:color w:val="000000"/>
              </w:rPr>
              <w:t>1,8</w:t>
            </w:r>
          </w:p>
        </w:tc>
      </w:tr>
      <w:tr w:rsidR="000609A8" w:rsidRPr="00D1550C" w:rsidTr="00A85A23">
        <w:trPr>
          <w:trHeight w:val="360"/>
        </w:trPr>
        <w:tc>
          <w:tcPr>
            <w:tcW w:w="3114" w:type="dxa"/>
            <w:shd w:val="clear" w:color="000000" w:fill="BDD7EE"/>
            <w:noWrap/>
            <w:vAlign w:val="center"/>
            <w:hideMark/>
          </w:tcPr>
          <w:p w:rsidR="000609A8" w:rsidRPr="00D1550C" w:rsidRDefault="000609A8" w:rsidP="000609A8">
            <w:pPr>
              <w:rPr>
                <w:b/>
                <w:bCs/>
                <w:sz w:val="22"/>
              </w:rPr>
            </w:pPr>
            <w:r w:rsidRPr="00D1550C">
              <w:rPr>
                <w:b/>
                <w:bCs/>
                <w:sz w:val="22"/>
              </w:rPr>
              <w:t>Other countries</w:t>
            </w:r>
          </w:p>
        </w:tc>
        <w:tc>
          <w:tcPr>
            <w:tcW w:w="1275" w:type="dxa"/>
            <w:shd w:val="clear" w:color="000000" w:fill="BDD7EE"/>
            <w:noWrap/>
            <w:vAlign w:val="center"/>
            <w:hideMark/>
          </w:tcPr>
          <w:p w:rsidR="000609A8" w:rsidRPr="00D1550C" w:rsidRDefault="000609A8" w:rsidP="000609A8">
            <w:pPr>
              <w:jc w:val="center"/>
              <w:rPr>
                <w:b/>
                <w:bCs/>
                <w:sz w:val="22"/>
              </w:rPr>
            </w:pPr>
            <w:r w:rsidRPr="00D1550C">
              <w:rPr>
                <w:b/>
                <w:bCs/>
                <w:sz w:val="22"/>
              </w:rPr>
              <w:t>25,8</w:t>
            </w:r>
          </w:p>
        </w:tc>
        <w:tc>
          <w:tcPr>
            <w:tcW w:w="1438" w:type="dxa"/>
            <w:shd w:val="clear" w:color="000000" w:fill="BDD7EE"/>
            <w:noWrap/>
            <w:vAlign w:val="center"/>
            <w:hideMark/>
          </w:tcPr>
          <w:p w:rsidR="000609A8" w:rsidRPr="00D1550C" w:rsidRDefault="000609A8" w:rsidP="000609A8">
            <w:pPr>
              <w:jc w:val="center"/>
              <w:rPr>
                <w:b/>
                <w:bCs/>
                <w:sz w:val="22"/>
              </w:rPr>
            </w:pPr>
            <w:r w:rsidRPr="00D1550C">
              <w:rPr>
                <w:b/>
                <w:bCs/>
                <w:sz w:val="22"/>
              </w:rPr>
              <w:t>43,2</w:t>
            </w:r>
          </w:p>
        </w:tc>
        <w:tc>
          <w:tcPr>
            <w:tcW w:w="1397" w:type="dxa"/>
            <w:shd w:val="clear" w:color="000000" w:fill="BDD7EE"/>
            <w:noWrap/>
            <w:vAlign w:val="center"/>
            <w:hideMark/>
          </w:tcPr>
          <w:p w:rsidR="000609A8" w:rsidRPr="00D1550C" w:rsidRDefault="000609A8" w:rsidP="000609A8">
            <w:pPr>
              <w:jc w:val="center"/>
              <w:rPr>
                <w:b/>
                <w:bCs/>
                <w:sz w:val="22"/>
              </w:rPr>
            </w:pPr>
            <w:r w:rsidRPr="00D1550C">
              <w:rPr>
                <w:b/>
                <w:bCs/>
                <w:sz w:val="22"/>
              </w:rPr>
              <w:t>45,7</w:t>
            </w:r>
          </w:p>
        </w:tc>
        <w:tc>
          <w:tcPr>
            <w:tcW w:w="1418" w:type="dxa"/>
            <w:gridSpan w:val="2"/>
            <w:shd w:val="clear" w:color="000000" w:fill="BDD7EE"/>
            <w:noWrap/>
            <w:vAlign w:val="center"/>
            <w:hideMark/>
          </w:tcPr>
          <w:p w:rsidR="000609A8" w:rsidRPr="00D1550C" w:rsidRDefault="000609A8" w:rsidP="000609A8">
            <w:pPr>
              <w:jc w:val="center"/>
              <w:rPr>
                <w:b/>
                <w:bCs/>
                <w:sz w:val="22"/>
              </w:rPr>
            </w:pPr>
            <w:r w:rsidRPr="00D1550C">
              <w:rPr>
                <w:b/>
                <w:bCs/>
                <w:sz w:val="22"/>
              </w:rPr>
              <w:t>9,5</w:t>
            </w:r>
          </w:p>
        </w:tc>
        <w:tc>
          <w:tcPr>
            <w:tcW w:w="1417" w:type="dxa"/>
            <w:shd w:val="clear" w:color="000000" w:fill="BDD7EE"/>
            <w:noWrap/>
            <w:vAlign w:val="center"/>
            <w:hideMark/>
          </w:tcPr>
          <w:p w:rsidR="000609A8" w:rsidRPr="00D1550C" w:rsidRDefault="000609A8" w:rsidP="000609A8">
            <w:pPr>
              <w:jc w:val="center"/>
              <w:rPr>
                <w:b/>
                <w:bCs/>
                <w:sz w:val="22"/>
              </w:rPr>
            </w:pPr>
            <w:r w:rsidRPr="00D1550C">
              <w:rPr>
                <w:b/>
                <w:bCs/>
                <w:sz w:val="22"/>
              </w:rPr>
              <w:t>8,6</w:t>
            </w:r>
          </w:p>
        </w:tc>
        <w:tc>
          <w:tcPr>
            <w:tcW w:w="1374" w:type="dxa"/>
            <w:shd w:val="clear" w:color="000000" w:fill="BDD7EE"/>
            <w:noWrap/>
            <w:vAlign w:val="center"/>
            <w:hideMark/>
          </w:tcPr>
          <w:p w:rsidR="000609A8" w:rsidRPr="00D1550C" w:rsidRDefault="000609A8" w:rsidP="000609A8">
            <w:pPr>
              <w:jc w:val="center"/>
              <w:rPr>
                <w:b/>
                <w:bCs/>
                <w:sz w:val="22"/>
              </w:rPr>
            </w:pPr>
            <w:r w:rsidRPr="00D1550C">
              <w:rPr>
                <w:b/>
                <w:bCs/>
                <w:sz w:val="22"/>
              </w:rPr>
              <w:t>13,0</w:t>
            </w:r>
          </w:p>
        </w:tc>
        <w:tc>
          <w:tcPr>
            <w:tcW w:w="1149" w:type="dxa"/>
            <w:shd w:val="clear" w:color="000000" w:fill="BDD7EE"/>
            <w:noWrap/>
            <w:vAlign w:val="center"/>
            <w:hideMark/>
          </w:tcPr>
          <w:p w:rsidR="000609A8" w:rsidRPr="00D1550C" w:rsidRDefault="000609A8" w:rsidP="000609A8">
            <w:pPr>
              <w:jc w:val="center"/>
              <w:rPr>
                <w:b/>
                <w:bCs/>
                <w:sz w:val="22"/>
              </w:rPr>
            </w:pPr>
            <w:r w:rsidRPr="00D1550C">
              <w:rPr>
                <w:b/>
                <w:bCs/>
                <w:sz w:val="22"/>
              </w:rPr>
              <w:t>16,3</w:t>
            </w:r>
          </w:p>
        </w:tc>
        <w:tc>
          <w:tcPr>
            <w:tcW w:w="1305" w:type="dxa"/>
            <w:shd w:val="clear" w:color="000000" w:fill="BDD7EE"/>
            <w:noWrap/>
            <w:vAlign w:val="center"/>
            <w:hideMark/>
          </w:tcPr>
          <w:p w:rsidR="000609A8" w:rsidRPr="00D1550C" w:rsidRDefault="000609A8" w:rsidP="000609A8">
            <w:pPr>
              <w:jc w:val="center"/>
              <w:rPr>
                <w:b/>
                <w:bCs/>
                <w:sz w:val="22"/>
              </w:rPr>
            </w:pPr>
            <w:r w:rsidRPr="00D1550C">
              <w:rPr>
                <w:b/>
                <w:bCs/>
                <w:sz w:val="22"/>
              </w:rPr>
              <w:t>34,6</w:t>
            </w:r>
          </w:p>
        </w:tc>
        <w:tc>
          <w:tcPr>
            <w:tcW w:w="1110" w:type="dxa"/>
            <w:shd w:val="clear" w:color="000000" w:fill="BDD7EE"/>
            <w:noWrap/>
            <w:vAlign w:val="center"/>
            <w:hideMark/>
          </w:tcPr>
          <w:p w:rsidR="000609A8" w:rsidRPr="00D1550C" w:rsidRDefault="000609A8" w:rsidP="000609A8">
            <w:pPr>
              <w:jc w:val="center"/>
              <w:rPr>
                <w:b/>
                <w:bCs/>
                <w:sz w:val="22"/>
              </w:rPr>
            </w:pPr>
            <w:r w:rsidRPr="00D1550C">
              <w:rPr>
                <w:b/>
                <w:bCs/>
                <w:sz w:val="22"/>
              </w:rPr>
              <w:t>32,7</w:t>
            </w:r>
          </w:p>
        </w:tc>
      </w:tr>
    </w:tbl>
    <w:p w:rsidR="009669F1" w:rsidRPr="00D1550C" w:rsidRDefault="009669F1" w:rsidP="008C59A3">
      <w:pPr>
        <w:jc w:val="right"/>
        <w:rPr>
          <w:i/>
        </w:rPr>
      </w:pPr>
    </w:p>
    <w:p w:rsidR="009669F1" w:rsidRPr="00D1550C" w:rsidRDefault="009669F1">
      <w:pPr>
        <w:rPr>
          <w:i/>
        </w:rPr>
      </w:pPr>
      <w:r w:rsidRPr="00D1550C">
        <w:rPr>
          <w:i/>
        </w:rPr>
        <w:br w:type="page"/>
      </w:r>
    </w:p>
    <w:p w:rsidR="006A0A57" w:rsidRPr="00D1550C" w:rsidRDefault="006A0A57" w:rsidP="009304D9">
      <w:pPr>
        <w:jc w:val="right"/>
        <w:rPr>
          <w:i/>
          <w:sz w:val="22"/>
          <w:szCs w:val="22"/>
        </w:rPr>
        <w:sectPr w:rsidR="006A0A57" w:rsidRPr="00D1550C" w:rsidSect="008E4A1C">
          <w:footerReference w:type="first" r:id="rId49"/>
          <w:pgSz w:w="16838" w:h="11906" w:orient="landscape" w:code="9"/>
          <w:pgMar w:top="709" w:right="737" w:bottom="567" w:left="1134" w:header="709" w:footer="709" w:gutter="0"/>
          <w:cols w:space="708"/>
          <w:titlePg/>
          <w:docGrid w:linePitch="360"/>
        </w:sectPr>
      </w:pPr>
    </w:p>
    <w:p w:rsidR="009304D9" w:rsidRPr="00D1550C" w:rsidRDefault="009304D9" w:rsidP="00C917D2">
      <w:pPr>
        <w:ind w:right="282"/>
        <w:jc w:val="right"/>
        <w:rPr>
          <w:i/>
          <w:sz w:val="22"/>
          <w:szCs w:val="22"/>
        </w:rPr>
      </w:pPr>
      <w:r w:rsidRPr="00D1550C">
        <w:rPr>
          <w:i/>
          <w:sz w:val="22"/>
          <w:szCs w:val="22"/>
        </w:rPr>
        <w:lastRenderedPageBreak/>
        <w:t xml:space="preserve">Addenda </w:t>
      </w:r>
      <w:r w:rsidR="00244E0E" w:rsidRPr="00D1550C">
        <w:rPr>
          <w:i/>
          <w:sz w:val="22"/>
          <w:szCs w:val="22"/>
        </w:rPr>
        <w:t>10</w:t>
      </w:r>
    </w:p>
    <w:p w:rsidR="009304D9" w:rsidRPr="00D1550C" w:rsidRDefault="009304D9" w:rsidP="006A0A57">
      <w:pPr>
        <w:pStyle w:val="1"/>
        <w:spacing w:before="0" w:after="0"/>
        <w:ind w:left="0"/>
        <w:jc w:val="center"/>
        <w:rPr>
          <w:rFonts w:ascii="Calibri" w:hAnsi="Calibri"/>
          <w:sz w:val="26"/>
          <w:szCs w:val="26"/>
          <w:lang w:val="en-US"/>
        </w:rPr>
      </w:pPr>
      <w:bookmarkStart w:id="34" w:name="_Toc83291137"/>
      <w:r w:rsidRPr="00D1550C">
        <w:rPr>
          <w:rFonts w:ascii="Calibri" w:hAnsi="Calibri" w:cs="Calibri"/>
          <w:sz w:val="26"/>
          <w:szCs w:val="26"/>
          <w:lang w:val="en-US"/>
        </w:rPr>
        <w:t>BALANCE OF PRIMARY INCOME</w:t>
      </w:r>
      <w:r w:rsidR="006A0A57" w:rsidRPr="00D1550C">
        <w:rPr>
          <w:rFonts w:ascii="Calibri" w:hAnsi="Calibri" w:cs="Calibri"/>
          <w:sz w:val="26"/>
          <w:szCs w:val="26"/>
          <w:lang w:val="en-US"/>
        </w:rPr>
        <w:t xml:space="preserve"> </w:t>
      </w:r>
      <w:r w:rsidR="00C917D2" w:rsidRPr="00D1550C">
        <w:rPr>
          <w:rFonts w:ascii="Calibri" w:hAnsi="Calibri" w:cs="Calibri"/>
          <w:sz w:val="26"/>
          <w:szCs w:val="26"/>
          <w:lang w:val="en-US"/>
        </w:rPr>
        <w:t>FOR</w:t>
      </w:r>
      <w:r w:rsidR="00462E90" w:rsidRPr="00D1550C">
        <w:rPr>
          <w:rFonts w:ascii="Calibri" w:hAnsi="Calibri" w:cs="Calibri"/>
          <w:sz w:val="26"/>
          <w:szCs w:val="26"/>
          <w:lang w:val="en-US"/>
        </w:rPr>
        <w:t xml:space="preserve"> THE</w:t>
      </w:r>
      <w:r w:rsidR="003A3EFE" w:rsidRPr="00D1550C">
        <w:rPr>
          <w:rFonts w:ascii="Calibri" w:hAnsi="Calibri" w:cs="Calibri"/>
          <w:sz w:val="26"/>
          <w:szCs w:val="26"/>
          <w:lang w:val="en-US"/>
        </w:rPr>
        <w:t xml:space="preserve"> </w:t>
      </w:r>
      <w:r w:rsidR="00462E90" w:rsidRPr="00D1550C">
        <w:rPr>
          <w:rFonts w:ascii="Calibri" w:hAnsi="Calibri" w:cs="Calibri"/>
          <w:sz w:val="26"/>
          <w:szCs w:val="26"/>
          <w:lang w:val="en-US"/>
        </w:rPr>
        <w:t>FIRST</w:t>
      </w:r>
      <w:r w:rsidR="003A3EFE" w:rsidRPr="00D1550C">
        <w:rPr>
          <w:rFonts w:ascii="Calibri" w:hAnsi="Calibri" w:cs="Calibri"/>
          <w:sz w:val="26"/>
          <w:szCs w:val="26"/>
          <w:lang w:val="en-US"/>
        </w:rPr>
        <w:t xml:space="preserve"> </w:t>
      </w:r>
      <w:r w:rsidR="00462E90" w:rsidRPr="00D1550C">
        <w:rPr>
          <w:rFonts w:ascii="Calibri" w:hAnsi="Calibri" w:cs="Calibri"/>
          <w:sz w:val="26"/>
          <w:szCs w:val="26"/>
          <w:lang w:val="en-US"/>
        </w:rPr>
        <w:t>HALF</w:t>
      </w:r>
      <w:r w:rsidR="003A3EFE" w:rsidRPr="00D1550C">
        <w:rPr>
          <w:rFonts w:ascii="Calibri" w:hAnsi="Calibri" w:cs="Calibri"/>
          <w:sz w:val="26"/>
          <w:szCs w:val="26"/>
          <w:lang w:val="en-US"/>
        </w:rPr>
        <w:t xml:space="preserve"> OF</w:t>
      </w:r>
      <w:r w:rsidRPr="00D1550C">
        <w:rPr>
          <w:rFonts w:ascii="Calibri" w:hAnsi="Calibri" w:cs="Calibri"/>
          <w:sz w:val="26"/>
          <w:szCs w:val="26"/>
          <w:lang w:val="en-US"/>
        </w:rPr>
        <w:t xml:space="preserve"> </w:t>
      </w:r>
      <w:r w:rsidR="00C917D2" w:rsidRPr="00D1550C">
        <w:rPr>
          <w:rFonts w:ascii="Calibri" w:hAnsi="Calibri" w:cs="Calibri"/>
          <w:sz w:val="26"/>
          <w:szCs w:val="26"/>
          <w:lang w:val="en-US"/>
        </w:rPr>
        <w:t>201</w:t>
      </w:r>
      <w:r w:rsidR="00285AE4" w:rsidRPr="00D1550C">
        <w:rPr>
          <w:rFonts w:ascii="Calibri" w:hAnsi="Calibri" w:cs="Calibri"/>
          <w:sz w:val="26"/>
          <w:szCs w:val="26"/>
          <w:lang w:val="en-US"/>
        </w:rPr>
        <w:t>9</w:t>
      </w:r>
      <w:r w:rsidR="006A0A57" w:rsidRPr="00D1550C">
        <w:rPr>
          <w:rFonts w:ascii="Calibri" w:hAnsi="Calibri" w:cs="Calibri"/>
          <w:sz w:val="26"/>
          <w:szCs w:val="26"/>
          <w:lang w:val="en-US"/>
        </w:rPr>
        <w:t xml:space="preserve"> </w:t>
      </w:r>
      <w:r w:rsidR="00703AA4" w:rsidRPr="00D1550C">
        <w:rPr>
          <w:rFonts w:ascii="Calibri" w:hAnsi="Calibri" w:cs="Calibri"/>
          <w:sz w:val="26"/>
          <w:szCs w:val="26"/>
          <w:lang w:val="en-US"/>
        </w:rPr>
        <w:t>-</w:t>
      </w:r>
      <w:r w:rsidR="006A0A57" w:rsidRPr="00D1550C">
        <w:rPr>
          <w:rFonts w:ascii="Calibri" w:hAnsi="Calibri" w:cs="Calibri"/>
          <w:sz w:val="26"/>
          <w:szCs w:val="26"/>
          <w:lang w:val="en-US"/>
        </w:rPr>
        <w:t xml:space="preserve"> 202</w:t>
      </w:r>
      <w:r w:rsidR="00285AE4" w:rsidRPr="00D1550C">
        <w:rPr>
          <w:rFonts w:ascii="Calibri" w:hAnsi="Calibri" w:cs="Calibri"/>
          <w:sz w:val="26"/>
          <w:szCs w:val="26"/>
          <w:lang w:val="en-US"/>
        </w:rPr>
        <w:t>1</w:t>
      </w:r>
      <w:bookmarkEnd w:id="34"/>
    </w:p>
    <w:p w:rsidR="009304D9" w:rsidRPr="00D1550C" w:rsidRDefault="009304D9" w:rsidP="009304D9">
      <w:pPr>
        <w:ind w:right="-2"/>
        <w:jc w:val="right"/>
        <w:rPr>
          <w:i/>
        </w:rPr>
      </w:pPr>
    </w:p>
    <w:p w:rsidR="009304D9" w:rsidRPr="00D1550C" w:rsidRDefault="009304D9" w:rsidP="00C917D2">
      <w:pPr>
        <w:ind w:right="282"/>
        <w:jc w:val="right"/>
        <w:rPr>
          <w:i/>
          <w:sz w:val="20"/>
          <w:szCs w:val="20"/>
        </w:rPr>
      </w:pPr>
      <w:r w:rsidRPr="00D1550C">
        <w:rPr>
          <w:i/>
          <w:sz w:val="20"/>
          <w:szCs w:val="20"/>
        </w:rPr>
        <w:t>(mln. USD)</w:t>
      </w:r>
    </w:p>
    <w:tbl>
      <w:tblPr>
        <w:tblW w:w="10405" w:type="dxa"/>
        <w:jc w:val="center"/>
        <w:tblLook w:val="04A0" w:firstRow="1" w:lastRow="0" w:firstColumn="1" w:lastColumn="0" w:noHBand="0" w:noVBand="1"/>
      </w:tblPr>
      <w:tblGrid>
        <w:gridCol w:w="6516"/>
        <w:gridCol w:w="1275"/>
        <w:gridCol w:w="1276"/>
        <w:gridCol w:w="1338"/>
      </w:tblGrid>
      <w:tr w:rsidR="00462E90" w:rsidRPr="00D1550C" w:rsidTr="00013257">
        <w:trPr>
          <w:trHeight w:val="625"/>
          <w:jc w:val="center"/>
        </w:trPr>
        <w:tc>
          <w:tcPr>
            <w:tcW w:w="6516" w:type="dxa"/>
            <w:tcBorders>
              <w:top w:val="single" w:sz="4" w:space="0" w:color="5B9BD5"/>
              <w:left w:val="single" w:sz="4" w:space="0" w:color="5B9BD5"/>
              <w:right w:val="single" w:sz="4" w:space="0" w:color="5B9BD5"/>
            </w:tcBorders>
            <w:shd w:val="clear" w:color="auto" w:fill="auto"/>
            <w:noWrap/>
            <w:vAlign w:val="center"/>
            <w:hideMark/>
          </w:tcPr>
          <w:p w:rsidR="00462E90" w:rsidRPr="00D1550C" w:rsidRDefault="00462E90" w:rsidP="00244E0E">
            <w:pPr>
              <w:rPr>
                <w:rFonts w:cs="Calibri"/>
                <w:color w:val="000000"/>
              </w:rPr>
            </w:pPr>
            <w:r w:rsidRPr="00D1550C">
              <w:rPr>
                <w:rFonts w:cs="Calibri"/>
                <w:color w:val="000000"/>
              </w:rPr>
              <w:t> </w:t>
            </w:r>
          </w:p>
        </w:tc>
        <w:tc>
          <w:tcPr>
            <w:tcW w:w="1275" w:type="dxa"/>
            <w:tcBorders>
              <w:top w:val="single" w:sz="4" w:space="0" w:color="5B9BD5"/>
              <w:left w:val="single" w:sz="4" w:space="0" w:color="5B9BD5"/>
              <w:right w:val="single" w:sz="4" w:space="0" w:color="5B9BD5"/>
            </w:tcBorders>
            <w:shd w:val="clear" w:color="auto" w:fill="auto"/>
            <w:vAlign w:val="center"/>
            <w:hideMark/>
          </w:tcPr>
          <w:p w:rsidR="00462E90" w:rsidRPr="00D1550C" w:rsidRDefault="00462E90" w:rsidP="00C2014E">
            <w:pPr>
              <w:jc w:val="center"/>
              <w:rPr>
                <w:rFonts w:cs="Calibri"/>
                <w:color w:val="000000"/>
              </w:rPr>
            </w:pPr>
            <w:r w:rsidRPr="00D1550C">
              <w:rPr>
                <w:b/>
                <w:bCs/>
                <w:color w:val="000000"/>
                <w:sz w:val="22"/>
              </w:rPr>
              <w:t>For 1</w:t>
            </w:r>
            <w:r w:rsidRPr="00D1550C">
              <w:rPr>
                <w:b/>
                <w:bCs/>
                <w:color w:val="000000"/>
                <w:vertAlign w:val="superscript"/>
              </w:rPr>
              <w:t>st</w:t>
            </w:r>
            <w:r w:rsidRPr="00D1550C">
              <w:rPr>
                <w:b/>
                <w:bCs/>
                <w:color w:val="000000"/>
                <w:sz w:val="22"/>
              </w:rPr>
              <w:t xml:space="preserve">  half 2019</w:t>
            </w:r>
          </w:p>
        </w:tc>
        <w:tc>
          <w:tcPr>
            <w:tcW w:w="1276" w:type="dxa"/>
            <w:tcBorders>
              <w:top w:val="single" w:sz="4" w:space="0" w:color="5B9BD5"/>
              <w:left w:val="single" w:sz="4" w:space="0" w:color="5B9BD5"/>
              <w:right w:val="single" w:sz="6" w:space="0" w:color="5B9BD5"/>
            </w:tcBorders>
            <w:vAlign w:val="center"/>
          </w:tcPr>
          <w:p w:rsidR="00462E90" w:rsidRPr="00D1550C" w:rsidRDefault="00462E90" w:rsidP="00462E90">
            <w:pPr>
              <w:jc w:val="center"/>
              <w:rPr>
                <w:rFonts w:cs="Calibri"/>
                <w:color w:val="000000"/>
              </w:rPr>
            </w:pPr>
            <w:r w:rsidRPr="00D1550C">
              <w:rPr>
                <w:b/>
                <w:bCs/>
                <w:color w:val="000000"/>
                <w:sz w:val="22"/>
              </w:rPr>
              <w:t>For 1</w:t>
            </w:r>
            <w:r w:rsidRPr="00D1550C">
              <w:rPr>
                <w:b/>
                <w:bCs/>
                <w:color w:val="000000"/>
                <w:vertAlign w:val="superscript"/>
              </w:rPr>
              <w:t>st</w:t>
            </w:r>
            <w:r w:rsidRPr="00D1550C">
              <w:rPr>
                <w:b/>
                <w:bCs/>
                <w:color w:val="000000"/>
                <w:sz w:val="22"/>
              </w:rPr>
              <w:t xml:space="preserve">  half 2020</w:t>
            </w:r>
          </w:p>
        </w:tc>
        <w:tc>
          <w:tcPr>
            <w:tcW w:w="1338" w:type="dxa"/>
            <w:tcBorders>
              <w:top w:val="single" w:sz="4" w:space="0" w:color="5B9BD5"/>
              <w:left w:val="single" w:sz="6" w:space="0" w:color="5B9BD5"/>
              <w:right w:val="single" w:sz="4" w:space="0" w:color="5B9BD5"/>
            </w:tcBorders>
            <w:shd w:val="clear" w:color="auto" w:fill="auto"/>
            <w:vAlign w:val="center"/>
            <w:hideMark/>
          </w:tcPr>
          <w:p w:rsidR="00462E90" w:rsidRPr="00D1550C" w:rsidRDefault="00462E90" w:rsidP="00462E90">
            <w:pPr>
              <w:jc w:val="center"/>
              <w:rPr>
                <w:rFonts w:cs="Calibri"/>
                <w:color w:val="000000"/>
              </w:rPr>
            </w:pPr>
            <w:r w:rsidRPr="00D1550C">
              <w:rPr>
                <w:b/>
                <w:bCs/>
                <w:color w:val="000000"/>
                <w:sz w:val="22"/>
              </w:rPr>
              <w:t>For 1</w:t>
            </w:r>
            <w:r w:rsidRPr="00D1550C">
              <w:rPr>
                <w:b/>
                <w:bCs/>
                <w:color w:val="000000"/>
                <w:vertAlign w:val="superscript"/>
              </w:rPr>
              <w:t>st</w:t>
            </w:r>
            <w:r w:rsidRPr="00D1550C">
              <w:rPr>
                <w:b/>
                <w:bCs/>
                <w:color w:val="000000"/>
                <w:sz w:val="22"/>
              </w:rPr>
              <w:t xml:space="preserve">  half 2021</w:t>
            </w:r>
          </w:p>
        </w:tc>
      </w:tr>
      <w:tr w:rsidR="00462E90" w:rsidRPr="00D1550C" w:rsidTr="003A3EFE">
        <w:trPr>
          <w:trHeight w:val="397"/>
          <w:jc w:val="center"/>
        </w:trPr>
        <w:tc>
          <w:tcPr>
            <w:tcW w:w="6516" w:type="dxa"/>
            <w:tcBorders>
              <w:top w:val="nil"/>
              <w:left w:val="single" w:sz="4" w:space="0" w:color="5B9BD5"/>
              <w:bottom w:val="single" w:sz="4" w:space="0" w:color="5B9BD5"/>
              <w:right w:val="single" w:sz="4" w:space="0" w:color="5B9BD5"/>
            </w:tcBorders>
            <w:shd w:val="clear" w:color="000000" w:fill="BDD7EE"/>
            <w:noWrap/>
            <w:vAlign w:val="center"/>
            <w:hideMark/>
          </w:tcPr>
          <w:p w:rsidR="00462E90" w:rsidRPr="00D1550C" w:rsidRDefault="00462E90" w:rsidP="00462E90">
            <w:pPr>
              <w:rPr>
                <w:rFonts w:cs="Calibri"/>
                <w:b/>
                <w:bCs/>
                <w:color w:val="000000"/>
              </w:rPr>
            </w:pPr>
            <w:r w:rsidRPr="00D1550C">
              <w:rPr>
                <w:rFonts w:cs="Calibri"/>
                <w:b/>
                <w:bCs/>
                <w:color w:val="000000"/>
              </w:rPr>
              <w:t>Balance on primary income</w:t>
            </w:r>
          </w:p>
        </w:tc>
        <w:tc>
          <w:tcPr>
            <w:tcW w:w="1275" w:type="dxa"/>
            <w:tcBorders>
              <w:top w:val="single" w:sz="4" w:space="0" w:color="5B9BD5"/>
              <w:left w:val="nil"/>
              <w:bottom w:val="single" w:sz="4" w:space="0" w:color="5B9BD5"/>
              <w:right w:val="single" w:sz="4" w:space="0" w:color="5B9BD5"/>
            </w:tcBorders>
            <w:shd w:val="clear" w:color="000000" w:fill="BDD7EE"/>
            <w:noWrap/>
            <w:vAlign w:val="center"/>
            <w:hideMark/>
          </w:tcPr>
          <w:p w:rsidR="00462E90" w:rsidRPr="00D1550C" w:rsidRDefault="00462E90" w:rsidP="00462E90">
            <w:pPr>
              <w:jc w:val="center"/>
              <w:rPr>
                <w:rFonts w:cs="Calibri"/>
                <w:b/>
                <w:bCs/>
                <w:color w:val="000000"/>
              </w:rPr>
            </w:pPr>
            <w:r w:rsidRPr="00D1550C">
              <w:rPr>
                <w:rFonts w:cs="Calibri"/>
                <w:b/>
                <w:bCs/>
                <w:color w:val="000000"/>
              </w:rPr>
              <w:t>729,4</w:t>
            </w:r>
          </w:p>
        </w:tc>
        <w:tc>
          <w:tcPr>
            <w:tcW w:w="1276" w:type="dxa"/>
            <w:tcBorders>
              <w:top w:val="single" w:sz="4" w:space="0" w:color="5B9BD5"/>
              <w:left w:val="single" w:sz="4" w:space="0" w:color="5B9BD5"/>
              <w:bottom w:val="single" w:sz="4" w:space="0" w:color="5B9BD5"/>
              <w:right w:val="single" w:sz="4" w:space="0" w:color="5B9BD5"/>
            </w:tcBorders>
            <w:shd w:val="clear" w:color="000000" w:fill="BDD7EE"/>
            <w:vAlign w:val="center"/>
          </w:tcPr>
          <w:p w:rsidR="00462E90" w:rsidRPr="00D1550C" w:rsidRDefault="00462E90" w:rsidP="00462E90">
            <w:pPr>
              <w:jc w:val="center"/>
              <w:rPr>
                <w:rFonts w:cs="Calibri"/>
                <w:b/>
                <w:bCs/>
                <w:color w:val="000000"/>
              </w:rPr>
            </w:pPr>
            <w:r w:rsidRPr="00D1550C">
              <w:rPr>
                <w:rFonts w:cs="Calibri"/>
                <w:b/>
                <w:bCs/>
                <w:color w:val="000000"/>
              </w:rPr>
              <w:t>175,7</w:t>
            </w:r>
          </w:p>
        </w:tc>
        <w:tc>
          <w:tcPr>
            <w:tcW w:w="1338"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462E90" w:rsidRPr="00D1550C" w:rsidRDefault="00462E90" w:rsidP="00462E90">
            <w:pPr>
              <w:jc w:val="center"/>
              <w:rPr>
                <w:rFonts w:cs="Calibri"/>
                <w:b/>
                <w:bCs/>
                <w:color w:val="000000"/>
              </w:rPr>
            </w:pPr>
            <w:r w:rsidRPr="00D1550C">
              <w:rPr>
                <w:rFonts w:cs="Calibri"/>
                <w:b/>
                <w:bCs/>
                <w:color w:val="000000"/>
              </w:rPr>
              <w:t>71,4</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000000" w:fill="BDD7EE"/>
            <w:noWrap/>
            <w:vAlign w:val="center"/>
            <w:hideMark/>
          </w:tcPr>
          <w:p w:rsidR="00462E90" w:rsidRPr="00D1550C" w:rsidRDefault="00462E90" w:rsidP="00462E90">
            <w:pPr>
              <w:rPr>
                <w:rFonts w:cs="Calibri"/>
                <w:b/>
                <w:bCs/>
                <w:color w:val="000000"/>
              </w:rPr>
            </w:pPr>
            <w:r w:rsidRPr="00D1550C">
              <w:rPr>
                <w:rFonts w:cs="Calibri"/>
                <w:b/>
                <w:bCs/>
                <w:color w:val="000000"/>
              </w:rPr>
              <w:t>I. Income receivable (from nonresidents)</w:t>
            </w:r>
          </w:p>
        </w:tc>
        <w:tc>
          <w:tcPr>
            <w:tcW w:w="1275" w:type="dxa"/>
            <w:tcBorders>
              <w:top w:val="single" w:sz="4" w:space="0" w:color="5B9BD5"/>
              <w:left w:val="nil"/>
              <w:bottom w:val="single" w:sz="4" w:space="0" w:color="5B9BD5"/>
              <w:right w:val="single" w:sz="4" w:space="0" w:color="5B9BD5"/>
            </w:tcBorders>
            <w:shd w:val="clear" w:color="000000" w:fill="BDD7EE"/>
            <w:noWrap/>
            <w:vAlign w:val="center"/>
            <w:hideMark/>
          </w:tcPr>
          <w:p w:rsidR="00462E90" w:rsidRPr="00D1550C" w:rsidRDefault="00462E90" w:rsidP="00462E90">
            <w:pPr>
              <w:jc w:val="center"/>
              <w:rPr>
                <w:rFonts w:cs="Calibri"/>
                <w:b/>
                <w:bCs/>
                <w:color w:val="000000"/>
              </w:rPr>
            </w:pPr>
            <w:r w:rsidRPr="00D1550C">
              <w:rPr>
                <w:rFonts w:cs="Calibri"/>
                <w:b/>
                <w:bCs/>
                <w:color w:val="000000"/>
              </w:rPr>
              <w:t>1 549,4</w:t>
            </w:r>
          </w:p>
        </w:tc>
        <w:tc>
          <w:tcPr>
            <w:tcW w:w="1276" w:type="dxa"/>
            <w:tcBorders>
              <w:top w:val="single" w:sz="4" w:space="0" w:color="5B9BD5"/>
              <w:left w:val="single" w:sz="4" w:space="0" w:color="5B9BD5"/>
              <w:bottom w:val="single" w:sz="4" w:space="0" w:color="5B9BD5"/>
              <w:right w:val="single" w:sz="4" w:space="0" w:color="5B9BD5"/>
            </w:tcBorders>
            <w:shd w:val="clear" w:color="000000" w:fill="BDD7EE"/>
            <w:vAlign w:val="center"/>
          </w:tcPr>
          <w:p w:rsidR="00462E90" w:rsidRPr="00D1550C" w:rsidRDefault="00462E90" w:rsidP="00462E90">
            <w:pPr>
              <w:jc w:val="center"/>
              <w:rPr>
                <w:rFonts w:cs="Calibri"/>
                <w:b/>
                <w:bCs/>
                <w:color w:val="000000"/>
              </w:rPr>
            </w:pPr>
            <w:r w:rsidRPr="00D1550C">
              <w:rPr>
                <w:rFonts w:cs="Calibri"/>
                <w:b/>
                <w:bCs/>
                <w:color w:val="000000"/>
              </w:rPr>
              <w:t>996,0</w:t>
            </w:r>
          </w:p>
        </w:tc>
        <w:tc>
          <w:tcPr>
            <w:tcW w:w="1338"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462E90" w:rsidRPr="00D1550C" w:rsidRDefault="00462E90" w:rsidP="00462E90">
            <w:pPr>
              <w:jc w:val="center"/>
              <w:rPr>
                <w:rFonts w:cs="Calibri"/>
                <w:b/>
                <w:bCs/>
                <w:color w:val="000000"/>
              </w:rPr>
            </w:pPr>
            <w:r w:rsidRPr="00D1550C">
              <w:rPr>
                <w:rFonts w:cs="Calibri"/>
                <w:b/>
                <w:bCs/>
                <w:color w:val="000000"/>
              </w:rPr>
              <w:t>1 041,8</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left="175"/>
              <w:rPr>
                <w:rFonts w:cs="Calibri"/>
                <w:color w:val="000000"/>
              </w:rPr>
            </w:pPr>
            <w:r w:rsidRPr="00D1550C">
              <w:rPr>
                <w:rFonts w:cs="Calibri"/>
                <w:color w:val="000000"/>
              </w:rPr>
              <w:t>1. Compensation of employees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1 397,5</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40"/>
              <w:jc w:val="center"/>
              <w:rPr>
                <w:rFonts w:cs="Calibri"/>
                <w:color w:val="000000"/>
              </w:rPr>
            </w:pPr>
            <w:r w:rsidRPr="00D1550C">
              <w:rPr>
                <w:rFonts w:cs="Calibri"/>
                <w:color w:val="000000"/>
              </w:rPr>
              <w:t>889,6</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1 017,9</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left="175"/>
              <w:rPr>
                <w:rFonts w:cs="Calibri"/>
                <w:color w:val="000000"/>
              </w:rPr>
            </w:pPr>
            <w:r w:rsidRPr="00D1550C">
              <w:rPr>
                <w:rFonts w:cs="Calibri"/>
                <w:color w:val="000000"/>
              </w:rPr>
              <w:t>2. Income from direct investments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2,2</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40"/>
              <w:jc w:val="center"/>
              <w:rPr>
                <w:rFonts w:cs="Calibri"/>
                <w:color w:val="000000"/>
              </w:rPr>
            </w:pPr>
            <w:r w:rsidRPr="00D1550C">
              <w:rPr>
                <w:rFonts w:cs="Calibri"/>
                <w:color w:val="000000"/>
              </w:rPr>
              <w:t>1,6</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1,4</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left="175"/>
              <w:rPr>
                <w:rFonts w:cs="Calibri"/>
                <w:color w:val="000000"/>
              </w:rPr>
            </w:pPr>
            <w:r w:rsidRPr="00D1550C">
              <w:rPr>
                <w:rFonts w:cs="Calibri"/>
                <w:color w:val="000000"/>
              </w:rPr>
              <w:t>3. Income from portfolio investments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40"/>
              <w:jc w:val="center"/>
              <w:rPr>
                <w:rFonts w:cs="Calibri"/>
                <w:color w:val="000000"/>
              </w:rPr>
            </w:pPr>
            <w:r w:rsidRPr="00D1550C">
              <w:rPr>
                <w:rFonts w:cs="Calibri"/>
                <w:color w:val="000000"/>
              </w:rPr>
              <w:t>-</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0,0</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vAlign w:val="center"/>
            <w:hideMark/>
          </w:tcPr>
          <w:p w:rsidR="00462E90" w:rsidRPr="00D1550C" w:rsidRDefault="00462E90" w:rsidP="00462E90">
            <w:pPr>
              <w:ind w:left="175"/>
              <w:rPr>
                <w:rFonts w:cs="Calibri"/>
                <w:color w:val="000000"/>
              </w:rPr>
            </w:pPr>
            <w:r w:rsidRPr="00D1550C">
              <w:rPr>
                <w:rFonts w:cs="Calibri"/>
                <w:color w:val="000000"/>
              </w:rPr>
              <w:t xml:space="preserve">4. Income from international reserves (including FRDU assets) </w:t>
            </w:r>
          </w:p>
        </w:tc>
        <w:tc>
          <w:tcPr>
            <w:tcW w:w="1275" w:type="dxa"/>
            <w:tcBorders>
              <w:top w:val="single" w:sz="4" w:space="0" w:color="5B9BD5"/>
              <w:left w:val="nil"/>
              <w:bottom w:val="single" w:sz="4" w:space="0" w:color="5B9BD5"/>
              <w:right w:val="single" w:sz="4" w:space="0" w:color="5B9BD5"/>
            </w:tcBorders>
            <w:shd w:val="clear" w:color="auto" w:fill="auto"/>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146,1</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40"/>
              <w:jc w:val="center"/>
              <w:rPr>
                <w:rFonts w:cs="Calibri"/>
                <w:color w:val="000000"/>
              </w:rPr>
            </w:pPr>
            <w:r w:rsidRPr="00D1550C">
              <w:rPr>
                <w:rFonts w:cs="Calibri"/>
                <w:color w:val="000000"/>
              </w:rPr>
              <w:t>101,0</w:t>
            </w:r>
          </w:p>
        </w:tc>
        <w:tc>
          <w:tcPr>
            <w:tcW w:w="133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21,0</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left="175"/>
              <w:rPr>
                <w:rFonts w:cs="Calibri"/>
                <w:color w:val="000000"/>
              </w:rPr>
            </w:pPr>
            <w:r w:rsidRPr="00D1550C">
              <w:rPr>
                <w:rFonts w:cs="Calibri"/>
                <w:color w:val="000000"/>
              </w:rPr>
              <w:t>5. Income from loans and credits raised</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40"/>
              <w:jc w:val="center"/>
              <w:rPr>
                <w:rFonts w:cs="Calibri"/>
                <w:color w:val="000000"/>
              </w:rPr>
            </w:pPr>
            <w:r w:rsidRPr="00D1550C">
              <w:rPr>
                <w:rFonts w:cs="Calibri"/>
                <w:color w:val="000000"/>
              </w:rPr>
              <w:t>0,05</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0,2</w:t>
            </w:r>
          </w:p>
        </w:tc>
      </w:tr>
      <w:tr w:rsidR="00462E90" w:rsidRPr="00D1550C" w:rsidTr="00222529">
        <w:trPr>
          <w:trHeight w:val="630"/>
          <w:jc w:val="center"/>
        </w:trPr>
        <w:tc>
          <w:tcPr>
            <w:tcW w:w="6516" w:type="dxa"/>
            <w:tcBorders>
              <w:top w:val="single" w:sz="4" w:space="0" w:color="5B9BD5"/>
              <w:left w:val="single" w:sz="4" w:space="0" w:color="5B9BD5"/>
              <w:bottom w:val="single" w:sz="4" w:space="0" w:color="5B9BD5" w:themeColor="accent1"/>
              <w:right w:val="single" w:sz="4" w:space="0" w:color="5B9BD5"/>
            </w:tcBorders>
            <w:shd w:val="clear" w:color="auto" w:fill="auto"/>
            <w:vAlign w:val="center"/>
            <w:hideMark/>
          </w:tcPr>
          <w:p w:rsidR="00462E90" w:rsidRPr="00D1550C" w:rsidRDefault="00462E90" w:rsidP="00462E90">
            <w:pPr>
              <w:ind w:left="175"/>
              <w:rPr>
                <w:rFonts w:cs="Calibri"/>
                <w:color w:val="000000"/>
              </w:rPr>
            </w:pPr>
            <w:r w:rsidRPr="00D1550C">
              <w:rPr>
                <w:rFonts w:cs="Calibri"/>
                <w:color w:val="000000"/>
              </w:rPr>
              <w:t>6. Income from deposits and correspondent accounts in foreign banks</w:t>
            </w:r>
          </w:p>
        </w:tc>
        <w:tc>
          <w:tcPr>
            <w:tcW w:w="1275" w:type="dxa"/>
            <w:tcBorders>
              <w:top w:val="single" w:sz="4" w:space="0" w:color="5B9BD5"/>
              <w:left w:val="nil"/>
              <w:bottom w:val="single" w:sz="4" w:space="0" w:color="5B9BD5" w:themeColor="accent1"/>
              <w:right w:val="single" w:sz="4" w:space="0" w:color="5B9BD5"/>
            </w:tcBorders>
            <w:shd w:val="clear" w:color="auto" w:fill="auto"/>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3,6</w:t>
            </w:r>
          </w:p>
        </w:tc>
        <w:tc>
          <w:tcPr>
            <w:tcW w:w="1276" w:type="dxa"/>
            <w:tcBorders>
              <w:top w:val="single" w:sz="4" w:space="0" w:color="5B9BD5"/>
              <w:left w:val="single" w:sz="4" w:space="0" w:color="5B9BD5"/>
              <w:bottom w:val="single" w:sz="4" w:space="0" w:color="5B9BD5" w:themeColor="accent1"/>
              <w:right w:val="single" w:sz="4" w:space="0" w:color="5B9BD5"/>
            </w:tcBorders>
            <w:vAlign w:val="center"/>
          </w:tcPr>
          <w:p w:rsidR="00462E90" w:rsidRPr="00D1550C" w:rsidRDefault="00462E90" w:rsidP="00462E90">
            <w:pPr>
              <w:ind w:firstLineChars="100" w:firstLine="240"/>
              <w:jc w:val="center"/>
              <w:rPr>
                <w:rFonts w:cs="Calibri"/>
                <w:color w:val="000000"/>
              </w:rPr>
            </w:pPr>
            <w:r w:rsidRPr="00D1550C">
              <w:rPr>
                <w:rFonts w:cs="Calibri"/>
                <w:color w:val="000000"/>
              </w:rPr>
              <w:t>3,7</w:t>
            </w:r>
          </w:p>
        </w:tc>
        <w:tc>
          <w:tcPr>
            <w:tcW w:w="1338" w:type="dxa"/>
            <w:tcBorders>
              <w:top w:val="single" w:sz="4" w:space="0" w:color="5B9BD5"/>
              <w:left w:val="single" w:sz="4" w:space="0" w:color="5B9BD5"/>
              <w:bottom w:val="single" w:sz="4" w:space="0" w:color="5B9BD5" w:themeColor="accent1"/>
              <w:right w:val="single" w:sz="4" w:space="0" w:color="5B9BD5"/>
            </w:tcBorders>
            <w:shd w:val="clear" w:color="auto" w:fill="auto"/>
            <w:vAlign w:val="center"/>
            <w:hideMark/>
          </w:tcPr>
          <w:p w:rsidR="00462E90" w:rsidRPr="00D1550C" w:rsidRDefault="00462E90" w:rsidP="00462E90">
            <w:pPr>
              <w:ind w:firstLineChars="100" w:firstLine="240"/>
              <w:jc w:val="center"/>
              <w:rPr>
                <w:rFonts w:cs="Calibri"/>
                <w:color w:val="000000"/>
              </w:rPr>
            </w:pPr>
            <w:r w:rsidRPr="00D1550C">
              <w:rPr>
                <w:rFonts w:cs="Calibri"/>
                <w:color w:val="000000"/>
              </w:rPr>
              <w:t>1,2</w:t>
            </w:r>
          </w:p>
        </w:tc>
      </w:tr>
      <w:tr w:rsidR="00222529" w:rsidRPr="00D1550C" w:rsidTr="00222529">
        <w:trPr>
          <w:trHeight w:val="315"/>
          <w:jc w:val="center"/>
        </w:trPr>
        <w:tc>
          <w:tcPr>
            <w:tcW w:w="10405"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22529" w:rsidRPr="00D1550C" w:rsidRDefault="00222529" w:rsidP="00244E0E">
            <w:pPr>
              <w:jc w:val="center"/>
              <w:rPr>
                <w:rFonts w:ascii="Times New Roman" w:hAnsi="Times New Roman"/>
                <w:sz w:val="20"/>
                <w:szCs w:val="20"/>
              </w:rPr>
            </w:pPr>
            <w:r w:rsidRPr="00D1550C">
              <w:rPr>
                <w:rFonts w:cs="Calibri"/>
                <w:color w:val="000000"/>
              </w:rPr>
              <w:t> </w:t>
            </w:r>
          </w:p>
        </w:tc>
      </w:tr>
      <w:tr w:rsidR="00462E90" w:rsidRPr="00D1550C" w:rsidTr="00222529">
        <w:trPr>
          <w:trHeight w:val="397"/>
          <w:jc w:val="center"/>
        </w:trPr>
        <w:tc>
          <w:tcPr>
            <w:tcW w:w="6516" w:type="dxa"/>
            <w:tcBorders>
              <w:top w:val="single" w:sz="4" w:space="0" w:color="5B9BD5" w:themeColor="accent1"/>
              <w:left w:val="single" w:sz="4" w:space="0" w:color="5B9BD5"/>
              <w:bottom w:val="single" w:sz="4" w:space="0" w:color="5B9BD5"/>
              <w:right w:val="single" w:sz="4" w:space="0" w:color="5B9BD5"/>
            </w:tcBorders>
            <w:shd w:val="clear" w:color="000000" w:fill="BDD7EE"/>
            <w:noWrap/>
            <w:vAlign w:val="center"/>
            <w:hideMark/>
          </w:tcPr>
          <w:p w:rsidR="00462E90" w:rsidRPr="00D1550C" w:rsidRDefault="00462E90" w:rsidP="00462E90">
            <w:pPr>
              <w:rPr>
                <w:rFonts w:cs="Calibri"/>
                <w:b/>
                <w:bCs/>
                <w:color w:val="000000"/>
              </w:rPr>
            </w:pPr>
            <w:r w:rsidRPr="00D1550C">
              <w:rPr>
                <w:rFonts w:cs="Calibri"/>
                <w:b/>
                <w:bCs/>
                <w:color w:val="000000"/>
              </w:rPr>
              <w:t>II. Income payable (to nonresidents)</w:t>
            </w:r>
          </w:p>
        </w:tc>
        <w:tc>
          <w:tcPr>
            <w:tcW w:w="1275" w:type="dxa"/>
            <w:tcBorders>
              <w:top w:val="single" w:sz="4" w:space="0" w:color="5B9BD5" w:themeColor="accent1"/>
              <w:left w:val="nil"/>
              <w:bottom w:val="single" w:sz="4" w:space="0" w:color="5B9BD5"/>
              <w:right w:val="single" w:sz="4" w:space="0" w:color="5B9BD5"/>
            </w:tcBorders>
            <w:shd w:val="clear" w:color="000000" w:fill="BDD7EE"/>
            <w:noWrap/>
            <w:vAlign w:val="center"/>
            <w:hideMark/>
          </w:tcPr>
          <w:p w:rsidR="00462E90" w:rsidRPr="00D1550C" w:rsidRDefault="00462E90" w:rsidP="00462E90">
            <w:pPr>
              <w:jc w:val="center"/>
              <w:rPr>
                <w:rFonts w:cs="Calibri"/>
                <w:b/>
                <w:bCs/>
                <w:color w:val="000000"/>
                <w:sz w:val="20"/>
                <w:szCs w:val="20"/>
              </w:rPr>
            </w:pPr>
            <w:r w:rsidRPr="00D1550C">
              <w:rPr>
                <w:rFonts w:cs="Calibri"/>
                <w:b/>
                <w:bCs/>
                <w:color w:val="000000"/>
                <w:sz w:val="20"/>
                <w:szCs w:val="20"/>
              </w:rPr>
              <w:t>820,0</w:t>
            </w:r>
          </w:p>
        </w:tc>
        <w:tc>
          <w:tcPr>
            <w:tcW w:w="1276" w:type="dxa"/>
            <w:tcBorders>
              <w:top w:val="single" w:sz="4" w:space="0" w:color="5B9BD5" w:themeColor="accent1"/>
              <w:left w:val="single" w:sz="4" w:space="0" w:color="5B9BD5"/>
              <w:bottom w:val="single" w:sz="4" w:space="0" w:color="5B9BD5"/>
              <w:right w:val="single" w:sz="4" w:space="0" w:color="5B9BD5"/>
            </w:tcBorders>
            <w:shd w:val="clear" w:color="000000" w:fill="BDD7EE"/>
            <w:vAlign w:val="center"/>
          </w:tcPr>
          <w:p w:rsidR="00462E90" w:rsidRPr="00D1550C" w:rsidRDefault="00462E90" w:rsidP="00462E90">
            <w:pPr>
              <w:jc w:val="center"/>
              <w:rPr>
                <w:rFonts w:cs="Calibri"/>
                <w:b/>
                <w:bCs/>
                <w:color w:val="000000"/>
                <w:sz w:val="20"/>
                <w:szCs w:val="20"/>
              </w:rPr>
            </w:pPr>
            <w:r w:rsidRPr="00D1550C">
              <w:rPr>
                <w:rFonts w:cs="Calibri"/>
                <w:b/>
                <w:bCs/>
                <w:color w:val="000000"/>
                <w:sz w:val="20"/>
                <w:szCs w:val="20"/>
              </w:rPr>
              <w:t>820,3</w:t>
            </w:r>
          </w:p>
        </w:tc>
        <w:tc>
          <w:tcPr>
            <w:tcW w:w="1338" w:type="dxa"/>
            <w:tcBorders>
              <w:top w:val="single" w:sz="4" w:space="0" w:color="5B9BD5" w:themeColor="accent1"/>
              <w:left w:val="single" w:sz="4" w:space="0" w:color="5B9BD5"/>
              <w:bottom w:val="single" w:sz="4" w:space="0" w:color="5B9BD5"/>
              <w:right w:val="single" w:sz="4" w:space="0" w:color="5B9BD5"/>
            </w:tcBorders>
            <w:shd w:val="clear" w:color="000000" w:fill="BDD7EE"/>
            <w:noWrap/>
            <w:vAlign w:val="center"/>
            <w:hideMark/>
          </w:tcPr>
          <w:p w:rsidR="00462E90" w:rsidRPr="00D1550C" w:rsidRDefault="00462E90" w:rsidP="00462E90">
            <w:pPr>
              <w:jc w:val="center"/>
              <w:rPr>
                <w:rFonts w:cs="Calibri"/>
                <w:b/>
                <w:bCs/>
                <w:color w:val="000000"/>
                <w:sz w:val="20"/>
                <w:szCs w:val="20"/>
              </w:rPr>
            </w:pPr>
            <w:r w:rsidRPr="00D1550C">
              <w:rPr>
                <w:rFonts w:cs="Calibri"/>
                <w:b/>
                <w:bCs/>
                <w:color w:val="000000"/>
                <w:sz w:val="20"/>
                <w:szCs w:val="20"/>
              </w:rPr>
              <w:t>970,4</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left="175"/>
              <w:rPr>
                <w:rFonts w:cs="Calibri"/>
                <w:color w:val="000000"/>
              </w:rPr>
            </w:pPr>
            <w:r w:rsidRPr="00D1550C">
              <w:rPr>
                <w:rFonts w:cs="Calibri"/>
                <w:color w:val="000000"/>
              </w:rPr>
              <w:t>1. Compensation of employees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14,6</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48,8</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63,7</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left="175"/>
              <w:rPr>
                <w:rFonts w:cs="Calibri"/>
                <w:color w:val="000000"/>
              </w:rPr>
            </w:pPr>
            <w:r w:rsidRPr="00D1550C">
              <w:rPr>
                <w:rFonts w:cs="Calibri"/>
                <w:color w:val="000000"/>
              </w:rPr>
              <w:t>2. Income from direct investments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483,5</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353,4</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451,2</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80"/>
              <w:rPr>
                <w:rFonts w:cs="Calibri"/>
                <w:color w:val="000000"/>
              </w:rPr>
            </w:pPr>
            <w:r w:rsidRPr="00D1550C">
              <w:rPr>
                <w:rFonts w:cs="Calibri"/>
                <w:color w:val="000000"/>
              </w:rPr>
              <w:t>Remuneration on loans of direct investors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20,9</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21,4</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4,4</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80"/>
              <w:rPr>
                <w:rFonts w:cs="Calibri"/>
                <w:color w:val="000000"/>
              </w:rPr>
            </w:pPr>
            <w:r w:rsidRPr="00D1550C">
              <w:rPr>
                <w:rFonts w:cs="Calibri"/>
                <w:color w:val="000000"/>
              </w:rPr>
              <w:t>Dividends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172,8</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133,5</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163,9</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80"/>
              <w:rPr>
                <w:rFonts w:cs="Calibri"/>
                <w:color w:val="000000"/>
              </w:rPr>
            </w:pPr>
            <w:r w:rsidRPr="00D1550C">
              <w:rPr>
                <w:rFonts w:cs="Calibri"/>
                <w:color w:val="000000"/>
              </w:rPr>
              <w:t>Reinvested profit</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289,8</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198,5</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282,9</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left="175"/>
              <w:rPr>
                <w:rFonts w:cs="Calibri"/>
                <w:color w:val="000000"/>
              </w:rPr>
            </w:pPr>
            <w:r w:rsidRPr="00D1550C">
              <w:rPr>
                <w:rFonts w:cs="Calibri"/>
                <w:color w:val="000000"/>
              </w:rPr>
              <w:t>3. Income from portfolio investments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20,9</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34,6</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77,0</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left="175"/>
              <w:rPr>
                <w:rFonts w:cs="Calibri"/>
                <w:color w:val="000000"/>
              </w:rPr>
            </w:pPr>
            <w:r w:rsidRPr="00D1550C">
              <w:rPr>
                <w:rFonts w:cs="Calibri"/>
                <w:color w:val="000000"/>
              </w:rPr>
              <w:t>4. Income from loans and credits raised</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300,5</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381,1</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374,2</w:t>
            </w:r>
          </w:p>
        </w:tc>
      </w:tr>
      <w:tr w:rsidR="00462E90" w:rsidRPr="00D1550C" w:rsidTr="00222529">
        <w:trPr>
          <w:trHeight w:val="630"/>
          <w:jc w:val="center"/>
        </w:trPr>
        <w:tc>
          <w:tcPr>
            <w:tcW w:w="6516" w:type="dxa"/>
            <w:tcBorders>
              <w:top w:val="nil"/>
              <w:left w:val="single" w:sz="4" w:space="0" w:color="5B9BD5"/>
              <w:bottom w:val="single" w:sz="4" w:space="0" w:color="5B9BD5"/>
              <w:right w:val="single" w:sz="4" w:space="0" w:color="5B9BD5"/>
            </w:tcBorders>
            <w:shd w:val="clear" w:color="auto" w:fill="auto"/>
            <w:vAlign w:val="center"/>
            <w:hideMark/>
          </w:tcPr>
          <w:p w:rsidR="00462E90" w:rsidRPr="00D1550C" w:rsidRDefault="00462E90" w:rsidP="00462E90">
            <w:pPr>
              <w:ind w:left="458"/>
              <w:rPr>
                <w:rFonts w:cs="Calibri"/>
                <w:color w:val="000000"/>
              </w:rPr>
            </w:pPr>
            <w:r w:rsidRPr="00D1550C">
              <w:rPr>
                <w:rFonts w:cs="Calibri"/>
                <w:color w:val="000000"/>
              </w:rPr>
              <w:t xml:space="preserve">by Government (including, guaranteed by the government of the Republic of Uzbekistan) </w:t>
            </w:r>
          </w:p>
        </w:tc>
        <w:tc>
          <w:tcPr>
            <w:tcW w:w="1275" w:type="dxa"/>
            <w:tcBorders>
              <w:top w:val="single" w:sz="4" w:space="0" w:color="5B9BD5"/>
              <w:left w:val="nil"/>
              <w:bottom w:val="single" w:sz="4" w:space="0" w:color="5B9BD5"/>
              <w:right w:val="single" w:sz="4" w:space="0" w:color="5B9BD5"/>
            </w:tcBorders>
            <w:shd w:val="clear" w:color="auto" w:fill="auto"/>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120,1</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175,6</w:t>
            </w:r>
          </w:p>
        </w:tc>
        <w:tc>
          <w:tcPr>
            <w:tcW w:w="133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168,2</w:t>
            </w:r>
          </w:p>
        </w:tc>
      </w:tr>
      <w:tr w:rsidR="00462E90" w:rsidRPr="00D1550C"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left="458"/>
              <w:rPr>
                <w:rFonts w:cs="Calibri"/>
                <w:color w:val="000000"/>
              </w:rPr>
            </w:pPr>
            <w:r w:rsidRPr="00D1550C">
              <w:rPr>
                <w:rFonts w:cs="Calibri"/>
                <w:color w:val="000000"/>
              </w:rPr>
              <w:t>by Banks and other sectors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180,4</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205,5</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462E90" w:rsidRPr="00D1550C" w:rsidRDefault="00462E90" w:rsidP="00462E90">
            <w:pPr>
              <w:ind w:firstLineChars="200" w:firstLine="400"/>
              <w:jc w:val="center"/>
              <w:rPr>
                <w:rFonts w:cs="Calibri"/>
                <w:color w:val="000000"/>
                <w:sz w:val="20"/>
                <w:szCs w:val="20"/>
              </w:rPr>
            </w:pPr>
            <w:r w:rsidRPr="00D1550C">
              <w:rPr>
                <w:rFonts w:cs="Calibri"/>
                <w:color w:val="000000"/>
                <w:sz w:val="20"/>
                <w:szCs w:val="20"/>
              </w:rPr>
              <w:t>205,9</w:t>
            </w:r>
          </w:p>
        </w:tc>
      </w:tr>
      <w:tr w:rsidR="00462E90" w:rsidRPr="00D1550C" w:rsidTr="00222529">
        <w:trPr>
          <w:trHeight w:val="630"/>
          <w:jc w:val="center"/>
        </w:trPr>
        <w:tc>
          <w:tcPr>
            <w:tcW w:w="6516" w:type="dxa"/>
            <w:tcBorders>
              <w:top w:val="nil"/>
              <w:left w:val="single" w:sz="4" w:space="0" w:color="5B9BD5"/>
              <w:bottom w:val="single" w:sz="4" w:space="0" w:color="5B9BD5"/>
              <w:right w:val="single" w:sz="4" w:space="0" w:color="5B9BD5"/>
            </w:tcBorders>
            <w:shd w:val="clear" w:color="auto" w:fill="auto"/>
            <w:vAlign w:val="center"/>
            <w:hideMark/>
          </w:tcPr>
          <w:p w:rsidR="00462E90" w:rsidRPr="00D1550C" w:rsidRDefault="00462E90" w:rsidP="00462E90">
            <w:pPr>
              <w:ind w:left="175"/>
              <w:rPr>
                <w:rFonts w:cs="Calibri"/>
                <w:color w:val="000000"/>
              </w:rPr>
            </w:pPr>
            <w:r w:rsidRPr="00D1550C">
              <w:rPr>
                <w:rFonts w:cs="Calibri"/>
                <w:color w:val="000000"/>
              </w:rPr>
              <w:t xml:space="preserve">5. Income from deposits and correspondent accounts in banks of Uzbekistan </w:t>
            </w:r>
          </w:p>
        </w:tc>
        <w:tc>
          <w:tcPr>
            <w:tcW w:w="1275" w:type="dxa"/>
            <w:tcBorders>
              <w:top w:val="single" w:sz="4" w:space="0" w:color="5B9BD5"/>
              <w:left w:val="nil"/>
              <w:bottom w:val="single" w:sz="4" w:space="0" w:color="5B9BD5"/>
              <w:right w:val="single" w:sz="4" w:space="0" w:color="5B9BD5"/>
            </w:tcBorders>
            <w:shd w:val="clear" w:color="auto" w:fill="auto"/>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0,5</w:t>
            </w:r>
          </w:p>
        </w:tc>
        <w:tc>
          <w:tcPr>
            <w:tcW w:w="1276" w:type="dxa"/>
            <w:tcBorders>
              <w:top w:val="single" w:sz="4" w:space="0" w:color="5B9BD5"/>
              <w:left w:val="single" w:sz="4" w:space="0" w:color="5B9BD5"/>
              <w:bottom w:val="single" w:sz="4" w:space="0" w:color="5B9BD5"/>
              <w:right w:val="single" w:sz="4" w:space="0" w:color="5B9BD5"/>
            </w:tcBorders>
            <w:vAlign w:val="center"/>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2,4</w:t>
            </w:r>
          </w:p>
        </w:tc>
        <w:tc>
          <w:tcPr>
            <w:tcW w:w="133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462E90" w:rsidRPr="00D1550C" w:rsidRDefault="00462E90" w:rsidP="00462E90">
            <w:pPr>
              <w:ind w:firstLineChars="100" w:firstLine="200"/>
              <w:jc w:val="center"/>
              <w:rPr>
                <w:rFonts w:cs="Calibri"/>
                <w:color w:val="000000"/>
                <w:sz w:val="20"/>
                <w:szCs w:val="20"/>
              </w:rPr>
            </w:pPr>
            <w:r w:rsidRPr="00D1550C">
              <w:rPr>
                <w:rFonts w:cs="Calibri"/>
                <w:color w:val="000000"/>
                <w:sz w:val="20"/>
                <w:szCs w:val="20"/>
              </w:rPr>
              <w:t>4,4</w:t>
            </w:r>
          </w:p>
        </w:tc>
      </w:tr>
    </w:tbl>
    <w:p w:rsidR="009304D9" w:rsidRPr="00D1550C" w:rsidRDefault="009304D9" w:rsidP="009304D9">
      <w:pPr>
        <w:ind w:right="338"/>
        <w:jc w:val="right"/>
        <w:rPr>
          <w:rFonts w:cs="Arial"/>
        </w:rPr>
      </w:pPr>
    </w:p>
    <w:p w:rsidR="00A835D8" w:rsidRPr="00D1550C" w:rsidRDefault="00A835D8" w:rsidP="00600369">
      <w:pPr>
        <w:ind w:right="54"/>
        <w:jc w:val="right"/>
        <w:rPr>
          <w:rFonts w:cs="Arial"/>
        </w:rPr>
        <w:sectPr w:rsidR="00A835D8" w:rsidRPr="00D1550C" w:rsidSect="006A0A57">
          <w:pgSz w:w="11906" w:h="16838" w:code="9"/>
          <w:pgMar w:top="1531" w:right="709" w:bottom="737" w:left="567" w:header="709" w:footer="709" w:gutter="0"/>
          <w:cols w:space="708"/>
          <w:titlePg/>
          <w:docGrid w:linePitch="360"/>
        </w:sectPr>
      </w:pPr>
    </w:p>
    <w:p w:rsidR="009304D9" w:rsidRPr="00D1550C" w:rsidRDefault="009304D9" w:rsidP="00A835D8">
      <w:pPr>
        <w:ind w:right="282"/>
        <w:jc w:val="right"/>
        <w:rPr>
          <w:i/>
          <w:sz w:val="22"/>
          <w:szCs w:val="22"/>
        </w:rPr>
      </w:pPr>
      <w:r w:rsidRPr="00D1550C">
        <w:rPr>
          <w:i/>
          <w:sz w:val="22"/>
          <w:szCs w:val="22"/>
        </w:rPr>
        <w:lastRenderedPageBreak/>
        <w:t>Addenda 1</w:t>
      </w:r>
      <w:r w:rsidR="00244E0E" w:rsidRPr="00D1550C">
        <w:rPr>
          <w:i/>
          <w:sz w:val="22"/>
          <w:szCs w:val="22"/>
        </w:rPr>
        <w:t>1</w:t>
      </w:r>
    </w:p>
    <w:p w:rsidR="009304D9" w:rsidRPr="00D1550C" w:rsidRDefault="009304D9" w:rsidP="009304D9">
      <w:pPr>
        <w:ind w:right="338"/>
        <w:jc w:val="right"/>
        <w:rPr>
          <w:i/>
        </w:rPr>
      </w:pPr>
    </w:p>
    <w:p w:rsidR="009304D9" w:rsidRPr="00D1550C" w:rsidRDefault="009304D9" w:rsidP="009304D9">
      <w:pPr>
        <w:pStyle w:val="1"/>
        <w:spacing w:before="0"/>
        <w:ind w:left="0"/>
        <w:jc w:val="center"/>
        <w:rPr>
          <w:rFonts w:ascii="Calibri" w:hAnsi="Calibri"/>
          <w:sz w:val="26"/>
          <w:szCs w:val="26"/>
          <w:lang w:val="en-US"/>
        </w:rPr>
      </w:pPr>
      <w:bookmarkStart w:id="35" w:name="_Toc83291138"/>
      <w:r w:rsidRPr="00D1550C">
        <w:rPr>
          <w:rFonts w:ascii="Calibri" w:hAnsi="Calibri" w:cs="Calibri"/>
          <w:sz w:val="26"/>
          <w:szCs w:val="26"/>
          <w:lang w:val="en-US"/>
        </w:rPr>
        <w:t xml:space="preserve">BALANCE OF SECONDARY INCOME </w:t>
      </w:r>
      <w:r w:rsidR="00CA703E" w:rsidRPr="00D1550C">
        <w:rPr>
          <w:rFonts w:ascii="Calibri" w:hAnsi="Calibri" w:cs="Calibri"/>
          <w:sz w:val="26"/>
          <w:szCs w:val="26"/>
          <w:lang w:val="en-US"/>
        </w:rPr>
        <w:t>FOR</w:t>
      </w:r>
      <w:r w:rsidRPr="00D1550C">
        <w:rPr>
          <w:rFonts w:ascii="Calibri" w:hAnsi="Calibri" w:cs="Calibri"/>
          <w:sz w:val="26"/>
          <w:szCs w:val="26"/>
          <w:lang w:val="en-US"/>
        </w:rPr>
        <w:t xml:space="preserve"> </w:t>
      </w:r>
      <w:r w:rsidR="00462E90" w:rsidRPr="00D1550C">
        <w:rPr>
          <w:rFonts w:ascii="Calibri" w:hAnsi="Calibri" w:cs="Calibri"/>
          <w:sz w:val="26"/>
          <w:szCs w:val="26"/>
          <w:lang w:val="en-US"/>
        </w:rPr>
        <w:t>THE FIRST</w:t>
      </w:r>
      <w:r w:rsidR="00F14966" w:rsidRPr="00D1550C">
        <w:rPr>
          <w:rFonts w:ascii="Calibri" w:hAnsi="Calibri" w:cs="Calibri"/>
          <w:sz w:val="26"/>
          <w:szCs w:val="26"/>
          <w:lang w:val="en-US"/>
        </w:rPr>
        <w:t xml:space="preserve"> </w:t>
      </w:r>
      <w:r w:rsidR="00462E90" w:rsidRPr="00D1550C">
        <w:rPr>
          <w:rFonts w:ascii="Calibri" w:hAnsi="Calibri" w:cs="Calibri"/>
          <w:sz w:val="26"/>
          <w:szCs w:val="26"/>
          <w:lang w:val="en-US"/>
        </w:rPr>
        <w:t>HALF</w:t>
      </w:r>
      <w:r w:rsidR="00F14966" w:rsidRPr="00D1550C">
        <w:rPr>
          <w:rFonts w:ascii="Calibri" w:hAnsi="Calibri" w:cs="Calibri"/>
          <w:sz w:val="26"/>
          <w:szCs w:val="26"/>
          <w:lang w:val="en-US"/>
        </w:rPr>
        <w:t xml:space="preserve"> OF </w:t>
      </w:r>
      <w:r w:rsidRPr="00D1550C">
        <w:rPr>
          <w:rFonts w:ascii="Calibri" w:hAnsi="Calibri" w:cs="Calibri"/>
          <w:sz w:val="26"/>
          <w:szCs w:val="26"/>
          <w:lang w:val="en-US"/>
        </w:rPr>
        <w:t>201</w:t>
      </w:r>
      <w:r w:rsidR="00285AE4" w:rsidRPr="00D1550C">
        <w:rPr>
          <w:rFonts w:ascii="Calibri" w:hAnsi="Calibri" w:cs="Calibri"/>
          <w:sz w:val="26"/>
          <w:szCs w:val="26"/>
          <w:lang w:val="en-US"/>
        </w:rPr>
        <w:t>9</w:t>
      </w:r>
      <w:r w:rsidR="00B33C6E" w:rsidRPr="00D1550C">
        <w:rPr>
          <w:rFonts w:ascii="Calibri" w:hAnsi="Calibri" w:cs="Calibri"/>
          <w:sz w:val="26"/>
          <w:szCs w:val="26"/>
          <w:lang w:val="en-US"/>
        </w:rPr>
        <w:t xml:space="preserve"> </w:t>
      </w:r>
      <w:r w:rsidR="00F14966" w:rsidRPr="00D1550C">
        <w:rPr>
          <w:rFonts w:ascii="Calibri" w:hAnsi="Calibri" w:cs="Calibri"/>
          <w:sz w:val="26"/>
          <w:szCs w:val="26"/>
          <w:lang w:val="en-US"/>
        </w:rPr>
        <w:t>-</w:t>
      </w:r>
      <w:r w:rsidR="00B33C6E" w:rsidRPr="00D1550C">
        <w:rPr>
          <w:rFonts w:ascii="Calibri" w:hAnsi="Calibri" w:cs="Calibri"/>
          <w:sz w:val="26"/>
          <w:szCs w:val="26"/>
          <w:lang w:val="en-US"/>
        </w:rPr>
        <w:t xml:space="preserve"> </w:t>
      </w:r>
      <w:r w:rsidRPr="00D1550C">
        <w:rPr>
          <w:rFonts w:ascii="Calibri" w:hAnsi="Calibri" w:cs="Calibri"/>
          <w:sz w:val="26"/>
          <w:szCs w:val="26"/>
          <w:lang w:val="en-US"/>
        </w:rPr>
        <w:t>20</w:t>
      </w:r>
      <w:r w:rsidR="00A835D8" w:rsidRPr="00D1550C">
        <w:rPr>
          <w:rFonts w:ascii="Calibri" w:hAnsi="Calibri" w:cs="Calibri"/>
          <w:sz w:val="26"/>
          <w:szCs w:val="26"/>
          <w:lang w:val="en-US"/>
        </w:rPr>
        <w:t>2</w:t>
      </w:r>
      <w:r w:rsidR="00F14966" w:rsidRPr="00D1550C">
        <w:rPr>
          <w:rFonts w:ascii="Calibri" w:hAnsi="Calibri" w:cs="Calibri"/>
          <w:sz w:val="26"/>
          <w:szCs w:val="26"/>
          <w:lang w:val="en-US"/>
        </w:rPr>
        <w:t>1</w:t>
      </w:r>
      <w:bookmarkEnd w:id="35"/>
    </w:p>
    <w:p w:rsidR="009304D9" w:rsidRPr="00D1550C" w:rsidRDefault="009304D9" w:rsidP="009304D9">
      <w:pPr>
        <w:ind w:right="282"/>
        <w:jc w:val="right"/>
        <w:rPr>
          <w:i/>
        </w:rPr>
      </w:pPr>
    </w:p>
    <w:p w:rsidR="002103EF" w:rsidRPr="00D1550C" w:rsidRDefault="009304D9" w:rsidP="00A835D8">
      <w:pPr>
        <w:ind w:right="282"/>
        <w:jc w:val="right"/>
        <w:rPr>
          <w:i/>
          <w:sz w:val="20"/>
          <w:szCs w:val="20"/>
        </w:rPr>
      </w:pPr>
      <w:r w:rsidRPr="00D1550C">
        <w:rPr>
          <w:i/>
          <w:sz w:val="20"/>
          <w:szCs w:val="20"/>
        </w:rPr>
        <w:t>(mln. USD)</w:t>
      </w:r>
    </w:p>
    <w:tbl>
      <w:tblPr>
        <w:tblW w:w="10485" w:type="dxa"/>
        <w:tblBorders>
          <w:top w:val="single" w:sz="4" w:space="0" w:color="5B9BD5"/>
          <w:left w:val="single" w:sz="4" w:space="0" w:color="5B9BD5"/>
          <w:bottom w:val="single" w:sz="4" w:space="0" w:color="5B9BD5"/>
          <w:right w:val="single" w:sz="4" w:space="0" w:color="5B9BD5"/>
          <w:insideH w:val="single" w:sz="6" w:space="0" w:color="5B9BD5"/>
          <w:insideV w:val="single" w:sz="6" w:space="0" w:color="5B9BD5"/>
        </w:tblBorders>
        <w:tblLook w:val="04A0" w:firstRow="1" w:lastRow="0" w:firstColumn="1" w:lastColumn="0" w:noHBand="0" w:noVBand="1"/>
      </w:tblPr>
      <w:tblGrid>
        <w:gridCol w:w="5949"/>
        <w:gridCol w:w="1559"/>
        <w:gridCol w:w="1559"/>
        <w:gridCol w:w="1418"/>
      </w:tblGrid>
      <w:tr w:rsidR="00462E90" w:rsidRPr="00D1550C" w:rsidTr="00013257">
        <w:trPr>
          <w:trHeight w:val="610"/>
        </w:trPr>
        <w:tc>
          <w:tcPr>
            <w:tcW w:w="5949" w:type="dxa"/>
            <w:shd w:val="clear" w:color="auto" w:fill="auto"/>
            <w:noWrap/>
            <w:vAlign w:val="center"/>
            <w:hideMark/>
          </w:tcPr>
          <w:p w:rsidR="00462E90" w:rsidRPr="00D1550C" w:rsidRDefault="00462E90" w:rsidP="00462E90">
            <w:pPr>
              <w:rPr>
                <w:rFonts w:cs="Calibri"/>
                <w:color w:val="000000"/>
              </w:rPr>
            </w:pPr>
            <w:r w:rsidRPr="00D1550C">
              <w:rPr>
                <w:rFonts w:cs="Calibri"/>
                <w:color w:val="000000"/>
              </w:rPr>
              <w:t> </w:t>
            </w:r>
          </w:p>
        </w:tc>
        <w:tc>
          <w:tcPr>
            <w:tcW w:w="1559" w:type="dxa"/>
            <w:shd w:val="clear" w:color="auto" w:fill="auto"/>
            <w:vAlign w:val="center"/>
            <w:hideMark/>
          </w:tcPr>
          <w:p w:rsidR="00462E90" w:rsidRPr="00D1550C" w:rsidRDefault="00462E90" w:rsidP="00462E90">
            <w:pPr>
              <w:jc w:val="center"/>
              <w:rPr>
                <w:rFonts w:cs="Calibri"/>
                <w:color w:val="000000"/>
              </w:rPr>
            </w:pPr>
            <w:r w:rsidRPr="00D1550C">
              <w:rPr>
                <w:b/>
                <w:bCs/>
                <w:color w:val="000000"/>
                <w:sz w:val="22"/>
              </w:rPr>
              <w:t>For 1</w:t>
            </w:r>
            <w:r w:rsidRPr="00D1550C">
              <w:rPr>
                <w:b/>
                <w:bCs/>
                <w:color w:val="000000"/>
                <w:vertAlign w:val="superscript"/>
              </w:rPr>
              <w:t>st</w:t>
            </w:r>
            <w:r w:rsidRPr="00D1550C">
              <w:rPr>
                <w:b/>
                <w:bCs/>
                <w:color w:val="000000"/>
                <w:sz w:val="22"/>
              </w:rPr>
              <w:t xml:space="preserve">  half 2019</w:t>
            </w:r>
          </w:p>
        </w:tc>
        <w:tc>
          <w:tcPr>
            <w:tcW w:w="1559" w:type="dxa"/>
            <w:shd w:val="clear" w:color="auto" w:fill="auto"/>
            <w:vAlign w:val="center"/>
            <w:hideMark/>
          </w:tcPr>
          <w:p w:rsidR="00462E90" w:rsidRPr="00D1550C" w:rsidRDefault="00462E90" w:rsidP="00462E90">
            <w:pPr>
              <w:jc w:val="center"/>
              <w:rPr>
                <w:rFonts w:cs="Calibri"/>
                <w:color w:val="000000"/>
              </w:rPr>
            </w:pPr>
            <w:r w:rsidRPr="00D1550C">
              <w:rPr>
                <w:b/>
                <w:bCs/>
                <w:color w:val="000000"/>
                <w:sz w:val="22"/>
              </w:rPr>
              <w:t>For 1</w:t>
            </w:r>
            <w:r w:rsidRPr="00D1550C">
              <w:rPr>
                <w:b/>
                <w:bCs/>
                <w:color w:val="000000"/>
                <w:vertAlign w:val="superscript"/>
              </w:rPr>
              <w:t>st</w:t>
            </w:r>
            <w:r w:rsidRPr="00D1550C">
              <w:rPr>
                <w:b/>
                <w:bCs/>
                <w:color w:val="000000"/>
                <w:sz w:val="22"/>
              </w:rPr>
              <w:t xml:space="preserve">  half 2020</w:t>
            </w:r>
          </w:p>
        </w:tc>
        <w:tc>
          <w:tcPr>
            <w:tcW w:w="1418" w:type="dxa"/>
            <w:shd w:val="clear" w:color="auto" w:fill="auto"/>
            <w:vAlign w:val="center"/>
            <w:hideMark/>
          </w:tcPr>
          <w:p w:rsidR="00462E90" w:rsidRPr="00D1550C" w:rsidRDefault="00462E90" w:rsidP="00462E90">
            <w:pPr>
              <w:jc w:val="center"/>
              <w:rPr>
                <w:rFonts w:cs="Calibri"/>
                <w:color w:val="000000"/>
              </w:rPr>
            </w:pPr>
            <w:r w:rsidRPr="00D1550C">
              <w:rPr>
                <w:b/>
                <w:bCs/>
                <w:color w:val="000000"/>
                <w:sz w:val="22"/>
              </w:rPr>
              <w:t>For 1</w:t>
            </w:r>
            <w:r w:rsidRPr="00D1550C">
              <w:rPr>
                <w:b/>
                <w:bCs/>
                <w:color w:val="000000"/>
                <w:vertAlign w:val="superscript"/>
              </w:rPr>
              <w:t>st</w:t>
            </w:r>
            <w:r w:rsidRPr="00D1550C">
              <w:rPr>
                <w:b/>
                <w:bCs/>
                <w:color w:val="000000"/>
                <w:sz w:val="22"/>
              </w:rPr>
              <w:t xml:space="preserve">  half 2021</w:t>
            </w:r>
          </w:p>
        </w:tc>
      </w:tr>
      <w:tr w:rsidR="00CC15AB" w:rsidRPr="00D1550C" w:rsidTr="002103EF">
        <w:trPr>
          <w:trHeight w:val="510"/>
        </w:trPr>
        <w:tc>
          <w:tcPr>
            <w:tcW w:w="5949" w:type="dxa"/>
            <w:shd w:val="clear" w:color="000000" w:fill="BDD7EE"/>
            <w:noWrap/>
            <w:vAlign w:val="center"/>
            <w:hideMark/>
          </w:tcPr>
          <w:p w:rsidR="00CC15AB" w:rsidRPr="00D1550C" w:rsidRDefault="00CC15AB" w:rsidP="00CC15AB">
            <w:pPr>
              <w:rPr>
                <w:rFonts w:cs="Calibri"/>
                <w:b/>
                <w:bCs/>
                <w:color w:val="000000"/>
              </w:rPr>
            </w:pPr>
            <w:r w:rsidRPr="00D1550C">
              <w:rPr>
                <w:rFonts w:cs="Calibri"/>
                <w:b/>
                <w:bCs/>
                <w:color w:val="000000"/>
              </w:rPr>
              <w:t>Balance on secondary income</w:t>
            </w:r>
          </w:p>
        </w:tc>
        <w:tc>
          <w:tcPr>
            <w:tcW w:w="1559" w:type="dxa"/>
            <w:shd w:val="clear" w:color="000000" w:fill="BDD7EE"/>
            <w:noWrap/>
            <w:vAlign w:val="center"/>
            <w:hideMark/>
          </w:tcPr>
          <w:p w:rsidR="00CC15AB" w:rsidRPr="00D1550C" w:rsidRDefault="00CC15AB" w:rsidP="00CC15AB">
            <w:pPr>
              <w:jc w:val="center"/>
              <w:rPr>
                <w:rFonts w:cs="Calibri"/>
                <w:b/>
                <w:bCs/>
                <w:color w:val="000000"/>
              </w:rPr>
            </w:pPr>
            <w:r w:rsidRPr="00D1550C">
              <w:rPr>
                <w:rFonts w:cs="Calibri"/>
                <w:b/>
                <w:bCs/>
                <w:color w:val="000000"/>
              </w:rPr>
              <w:t>2 161,9</w:t>
            </w:r>
          </w:p>
        </w:tc>
        <w:tc>
          <w:tcPr>
            <w:tcW w:w="1559" w:type="dxa"/>
            <w:shd w:val="clear" w:color="000000" w:fill="BDD7EE"/>
            <w:noWrap/>
            <w:vAlign w:val="center"/>
            <w:hideMark/>
          </w:tcPr>
          <w:p w:rsidR="00CC15AB" w:rsidRPr="00D1550C" w:rsidRDefault="00CC15AB" w:rsidP="00CC15AB">
            <w:pPr>
              <w:jc w:val="center"/>
              <w:rPr>
                <w:rFonts w:cs="Calibri"/>
                <w:b/>
                <w:bCs/>
                <w:color w:val="000000"/>
              </w:rPr>
            </w:pPr>
            <w:r w:rsidRPr="00D1550C">
              <w:rPr>
                <w:rFonts w:cs="Calibri"/>
                <w:b/>
                <w:bCs/>
                <w:color w:val="000000"/>
              </w:rPr>
              <w:t>2 141,0</w:t>
            </w:r>
          </w:p>
        </w:tc>
        <w:tc>
          <w:tcPr>
            <w:tcW w:w="1418" w:type="dxa"/>
            <w:shd w:val="clear" w:color="000000" w:fill="BDD7EE"/>
            <w:noWrap/>
            <w:vAlign w:val="center"/>
            <w:hideMark/>
          </w:tcPr>
          <w:p w:rsidR="00CC15AB" w:rsidRPr="00D1550C" w:rsidRDefault="00CC15AB" w:rsidP="00CC15AB">
            <w:pPr>
              <w:jc w:val="center"/>
              <w:rPr>
                <w:rFonts w:cs="Calibri"/>
                <w:b/>
                <w:bCs/>
                <w:color w:val="000000"/>
              </w:rPr>
            </w:pPr>
            <w:r w:rsidRPr="00D1550C">
              <w:rPr>
                <w:rFonts w:cs="Calibri"/>
                <w:b/>
                <w:bCs/>
                <w:color w:val="000000"/>
              </w:rPr>
              <w:t>2 468,3</w:t>
            </w:r>
          </w:p>
        </w:tc>
      </w:tr>
      <w:tr w:rsidR="00CC15AB" w:rsidRPr="00D1550C" w:rsidTr="002103EF">
        <w:trPr>
          <w:trHeight w:val="510"/>
        </w:trPr>
        <w:tc>
          <w:tcPr>
            <w:tcW w:w="5949" w:type="dxa"/>
            <w:shd w:val="clear" w:color="000000" w:fill="BDD7EE"/>
            <w:noWrap/>
            <w:vAlign w:val="center"/>
            <w:hideMark/>
          </w:tcPr>
          <w:p w:rsidR="00CC15AB" w:rsidRPr="00D1550C" w:rsidRDefault="00CC15AB" w:rsidP="00CC15AB">
            <w:pPr>
              <w:rPr>
                <w:rFonts w:cs="Calibri"/>
                <w:b/>
                <w:bCs/>
                <w:color w:val="000000"/>
              </w:rPr>
            </w:pPr>
            <w:r w:rsidRPr="00D1550C">
              <w:rPr>
                <w:rFonts w:cs="Calibri"/>
                <w:b/>
                <w:bCs/>
                <w:color w:val="000000"/>
              </w:rPr>
              <w:t>I. Credits</w:t>
            </w:r>
          </w:p>
        </w:tc>
        <w:tc>
          <w:tcPr>
            <w:tcW w:w="1559" w:type="dxa"/>
            <w:shd w:val="clear" w:color="000000" w:fill="BDD7EE"/>
            <w:noWrap/>
            <w:vAlign w:val="center"/>
            <w:hideMark/>
          </w:tcPr>
          <w:p w:rsidR="00CC15AB" w:rsidRPr="00D1550C" w:rsidRDefault="00CC15AB" w:rsidP="00CC15AB">
            <w:pPr>
              <w:jc w:val="center"/>
              <w:rPr>
                <w:rFonts w:cs="Calibri"/>
                <w:b/>
                <w:bCs/>
                <w:color w:val="000000"/>
              </w:rPr>
            </w:pPr>
            <w:r w:rsidRPr="00D1550C">
              <w:rPr>
                <w:rFonts w:cs="Calibri"/>
                <w:b/>
                <w:bCs/>
                <w:color w:val="000000"/>
              </w:rPr>
              <w:t>2 455,6</w:t>
            </w:r>
          </w:p>
        </w:tc>
        <w:tc>
          <w:tcPr>
            <w:tcW w:w="1559" w:type="dxa"/>
            <w:shd w:val="clear" w:color="000000" w:fill="BDD7EE"/>
            <w:noWrap/>
            <w:vAlign w:val="center"/>
            <w:hideMark/>
          </w:tcPr>
          <w:p w:rsidR="00CC15AB" w:rsidRPr="00D1550C" w:rsidRDefault="00CC15AB" w:rsidP="00CC15AB">
            <w:pPr>
              <w:jc w:val="center"/>
              <w:rPr>
                <w:rFonts w:cs="Calibri"/>
                <w:b/>
                <w:bCs/>
                <w:color w:val="000000"/>
              </w:rPr>
            </w:pPr>
            <w:r w:rsidRPr="00D1550C">
              <w:rPr>
                <w:rFonts w:cs="Calibri"/>
                <w:b/>
                <w:bCs/>
                <w:color w:val="000000"/>
              </w:rPr>
              <w:t>2 359,4</w:t>
            </w:r>
          </w:p>
        </w:tc>
        <w:tc>
          <w:tcPr>
            <w:tcW w:w="1418" w:type="dxa"/>
            <w:shd w:val="clear" w:color="000000" w:fill="BDD7EE"/>
            <w:noWrap/>
            <w:vAlign w:val="center"/>
            <w:hideMark/>
          </w:tcPr>
          <w:p w:rsidR="00CC15AB" w:rsidRPr="00D1550C" w:rsidRDefault="00CC15AB" w:rsidP="00CC15AB">
            <w:pPr>
              <w:jc w:val="center"/>
              <w:rPr>
                <w:rFonts w:cs="Calibri"/>
                <w:b/>
                <w:bCs/>
                <w:color w:val="000000"/>
              </w:rPr>
            </w:pPr>
            <w:r w:rsidRPr="00D1550C">
              <w:rPr>
                <w:rFonts w:cs="Calibri"/>
                <w:b/>
                <w:bCs/>
                <w:color w:val="000000"/>
              </w:rPr>
              <w:t>2 743,6</w:t>
            </w:r>
          </w:p>
        </w:tc>
      </w:tr>
      <w:tr w:rsidR="00CC15AB" w:rsidRPr="00D1550C" w:rsidTr="002103EF">
        <w:trPr>
          <w:trHeight w:val="510"/>
        </w:trPr>
        <w:tc>
          <w:tcPr>
            <w:tcW w:w="5949" w:type="dxa"/>
            <w:shd w:val="clear" w:color="auto" w:fill="auto"/>
            <w:noWrap/>
            <w:vAlign w:val="center"/>
            <w:hideMark/>
          </w:tcPr>
          <w:p w:rsidR="00CC15AB" w:rsidRPr="00D1550C" w:rsidRDefault="00CC15AB" w:rsidP="00CC15AB">
            <w:pPr>
              <w:ind w:leftChars="-9" w:hangingChars="9" w:hanging="22"/>
              <w:rPr>
                <w:rFonts w:cs="Calibri"/>
                <w:color w:val="000000"/>
              </w:rPr>
            </w:pPr>
            <w:r w:rsidRPr="00D1550C">
              <w:rPr>
                <w:rFonts w:cs="Calibri"/>
                <w:color w:val="000000"/>
              </w:rPr>
              <w:t>1. Government units</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24,3</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20,9</w:t>
            </w:r>
          </w:p>
        </w:tc>
        <w:tc>
          <w:tcPr>
            <w:tcW w:w="1418"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20,8</w:t>
            </w:r>
          </w:p>
        </w:tc>
      </w:tr>
      <w:tr w:rsidR="00CC15AB" w:rsidRPr="00D1550C" w:rsidTr="002103EF">
        <w:trPr>
          <w:trHeight w:val="510"/>
        </w:trPr>
        <w:tc>
          <w:tcPr>
            <w:tcW w:w="5949" w:type="dxa"/>
            <w:shd w:val="clear" w:color="auto" w:fill="auto"/>
            <w:vAlign w:val="center"/>
            <w:hideMark/>
          </w:tcPr>
          <w:p w:rsidR="00CC15AB" w:rsidRPr="00D1550C" w:rsidRDefault="00CC15AB" w:rsidP="00CC15AB">
            <w:pPr>
              <w:ind w:left="22"/>
              <w:rPr>
                <w:rFonts w:cs="Calibri"/>
                <w:color w:val="000000"/>
              </w:rPr>
            </w:pPr>
            <w:r w:rsidRPr="00D1550C">
              <w:rPr>
                <w:rFonts w:cs="Calibri"/>
                <w:color w:val="000000"/>
              </w:rPr>
              <w:t>2. Financial corporations, nonfinancial corporations, households, and NPISHs</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2 431,3</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2 338,6</w:t>
            </w:r>
          </w:p>
        </w:tc>
        <w:tc>
          <w:tcPr>
            <w:tcW w:w="1418"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2 722,8</w:t>
            </w:r>
          </w:p>
        </w:tc>
      </w:tr>
      <w:tr w:rsidR="00CC15AB" w:rsidRPr="00D1550C" w:rsidTr="002103EF">
        <w:trPr>
          <w:trHeight w:val="510"/>
        </w:trPr>
        <w:tc>
          <w:tcPr>
            <w:tcW w:w="5949" w:type="dxa"/>
            <w:shd w:val="clear" w:color="auto" w:fill="auto"/>
            <w:vAlign w:val="center"/>
            <w:hideMark/>
          </w:tcPr>
          <w:p w:rsidR="00CC15AB" w:rsidRPr="00D1550C" w:rsidRDefault="00CC15AB" w:rsidP="00CC15AB">
            <w:pPr>
              <w:ind w:left="306"/>
              <w:rPr>
                <w:rFonts w:cs="Calibri"/>
                <w:color w:val="000000"/>
              </w:rPr>
            </w:pPr>
            <w:r w:rsidRPr="00D1550C">
              <w:rPr>
                <w:rFonts w:cs="Calibri"/>
                <w:color w:val="000000"/>
              </w:rPr>
              <w:t xml:space="preserve">Personal transfers (current transfers between resident and nonresident households) </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2 365,3</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2 301,0</w:t>
            </w:r>
          </w:p>
        </w:tc>
        <w:tc>
          <w:tcPr>
            <w:tcW w:w="1418"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2 678,8</w:t>
            </w:r>
          </w:p>
        </w:tc>
      </w:tr>
      <w:tr w:rsidR="00CC15AB" w:rsidRPr="00D1550C" w:rsidTr="002103EF">
        <w:trPr>
          <w:trHeight w:val="510"/>
        </w:trPr>
        <w:tc>
          <w:tcPr>
            <w:tcW w:w="5949" w:type="dxa"/>
            <w:shd w:val="clear" w:color="auto" w:fill="auto"/>
            <w:noWrap/>
            <w:vAlign w:val="center"/>
            <w:hideMark/>
          </w:tcPr>
          <w:p w:rsidR="00CC15AB" w:rsidRPr="00D1550C" w:rsidRDefault="00CC15AB" w:rsidP="00CC15AB">
            <w:pPr>
              <w:ind w:firstLineChars="127" w:firstLine="305"/>
              <w:rPr>
                <w:rFonts w:cs="Calibri"/>
                <w:color w:val="000000"/>
              </w:rPr>
            </w:pPr>
            <w:r w:rsidRPr="00D1550C">
              <w:rPr>
                <w:rFonts w:cs="Calibri"/>
                <w:color w:val="000000"/>
              </w:rPr>
              <w:t>Other current transfers</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66,0</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37,5</w:t>
            </w:r>
          </w:p>
        </w:tc>
        <w:tc>
          <w:tcPr>
            <w:tcW w:w="1418"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44,1</w:t>
            </w:r>
          </w:p>
        </w:tc>
      </w:tr>
      <w:tr w:rsidR="002103EF" w:rsidRPr="00D1550C" w:rsidTr="005C1881">
        <w:trPr>
          <w:trHeight w:val="240"/>
        </w:trPr>
        <w:tc>
          <w:tcPr>
            <w:tcW w:w="5949" w:type="dxa"/>
            <w:shd w:val="clear" w:color="auto" w:fill="auto"/>
            <w:noWrap/>
            <w:vAlign w:val="center"/>
            <w:hideMark/>
          </w:tcPr>
          <w:p w:rsidR="002103EF" w:rsidRPr="00D1550C" w:rsidRDefault="002103EF" w:rsidP="002103EF">
            <w:pPr>
              <w:ind w:firstLineChars="200" w:firstLine="480"/>
              <w:rPr>
                <w:rFonts w:cs="Calibri"/>
                <w:color w:val="000000"/>
              </w:rPr>
            </w:pPr>
            <w:r w:rsidRPr="00D1550C">
              <w:rPr>
                <w:rFonts w:cs="Calibri"/>
                <w:color w:val="000000"/>
              </w:rPr>
              <w:t> </w:t>
            </w:r>
          </w:p>
        </w:tc>
        <w:tc>
          <w:tcPr>
            <w:tcW w:w="1559" w:type="dxa"/>
            <w:shd w:val="clear" w:color="auto" w:fill="auto"/>
            <w:noWrap/>
            <w:vAlign w:val="center"/>
            <w:hideMark/>
          </w:tcPr>
          <w:p w:rsidR="002103EF" w:rsidRPr="00D1550C" w:rsidRDefault="002103EF" w:rsidP="002103EF">
            <w:pPr>
              <w:jc w:val="center"/>
              <w:rPr>
                <w:rFonts w:cs="Calibri"/>
                <w:color w:val="000000"/>
                <w:sz w:val="22"/>
              </w:rPr>
            </w:pPr>
          </w:p>
        </w:tc>
        <w:tc>
          <w:tcPr>
            <w:tcW w:w="1559" w:type="dxa"/>
            <w:shd w:val="clear" w:color="auto" w:fill="auto"/>
            <w:noWrap/>
            <w:vAlign w:val="center"/>
            <w:hideMark/>
          </w:tcPr>
          <w:p w:rsidR="002103EF" w:rsidRPr="00D1550C" w:rsidRDefault="002103EF" w:rsidP="002103EF">
            <w:pPr>
              <w:jc w:val="center"/>
              <w:rPr>
                <w:rFonts w:cs="Calibri"/>
                <w:color w:val="000000"/>
                <w:sz w:val="22"/>
              </w:rPr>
            </w:pPr>
          </w:p>
        </w:tc>
        <w:tc>
          <w:tcPr>
            <w:tcW w:w="1418" w:type="dxa"/>
            <w:shd w:val="clear" w:color="auto" w:fill="auto"/>
            <w:noWrap/>
            <w:vAlign w:val="center"/>
            <w:hideMark/>
          </w:tcPr>
          <w:p w:rsidR="002103EF" w:rsidRPr="00D1550C" w:rsidRDefault="002103EF" w:rsidP="002103EF">
            <w:pPr>
              <w:jc w:val="center"/>
              <w:rPr>
                <w:rFonts w:cs="Calibri"/>
                <w:color w:val="000000"/>
                <w:sz w:val="22"/>
              </w:rPr>
            </w:pPr>
          </w:p>
        </w:tc>
      </w:tr>
      <w:tr w:rsidR="00CC15AB" w:rsidRPr="00D1550C" w:rsidTr="002103EF">
        <w:trPr>
          <w:trHeight w:val="510"/>
        </w:trPr>
        <w:tc>
          <w:tcPr>
            <w:tcW w:w="5949" w:type="dxa"/>
            <w:shd w:val="clear" w:color="000000" w:fill="BDD7EE"/>
            <w:noWrap/>
            <w:vAlign w:val="center"/>
            <w:hideMark/>
          </w:tcPr>
          <w:p w:rsidR="00CC15AB" w:rsidRPr="00D1550C" w:rsidRDefault="00CC15AB" w:rsidP="00CC15AB">
            <w:pPr>
              <w:rPr>
                <w:rFonts w:cs="Calibri"/>
                <w:b/>
                <w:bCs/>
                <w:color w:val="000000"/>
              </w:rPr>
            </w:pPr>
            <w:r w:rsidRPr="00D1550C">
              <w:rPr>
                <w:rFonts w:cs="Calibri"/>
                <w:b/>
                <w:bCs/>
                <w:color w:val="000000"/>
              </w:rPr>
              <w:t>II. Debits</w:t>
            </w:r>
          </w:p>
        </w:tc>
        <w:tc>
          <w:tcPr>
            <w:tcW w:w="1559" w:type="dxa"/>
            <w:shd w:val="clear" w:color="000000" w:fill="BDD7EE"/>
            <w:noWrap/>
            <w:vAlign w:val="center"/>
            <w:hideMark/>
          </w:tcPr>
          <w:p w:rsidR="00CC15AB" w:rsidRPr="00D1550C" w:rsidRDefault="00CC15AB" w:rsidP="00CC15AB">
            <w:pPr>
              <w:jc w:val="center"/>
              <w:rPr>
                <w:rFonts w:cs="Calibri"/>
                <w:b/>
                <w:bCs/>
                <w:color w:val="000000"/>
              </w:rPr>
            </w:pPr>
            <w:r w:rsidRPr="00D1550C">
              <w:rPr>
                <w:rFonts w:cs="Calibri"/>
                <w:b/>
                <w:bCs/>
                <w:color w:val="000000"/>
              </w:rPr>
              <w:t>293,7</w:t>
            </w:r>
          </w:p>
        </w:tc>
        <w:tc>
          <w:tcPr>
            <w:tcW w:w="1559" w:type="dxa"/>
            <w:shd w:val="clear" w:color="000000" w:fill="BDD7EE"/>
            <w:noWrap/>
            <w:vAlign w:val="center"/>
            <w:hideMark/>
          </w:tcPr>
          <w:p w:rsidR="00CC15AB" w:rsidRPr="00D1550C" w:rsidRDefault="00CC15AB" w:rsidP="00CC15AB">
            <w:pPr>
              <w:jc w:val="center"/>
              <w:rPr>
                <w:rFonts w:cs="Calibri"/>
                <w:b/>
                <w:bCs/>
                <w:color w:val="000000"/>
              </w:rPr>
            </w:pPr>
            <w:r w:rsidRPr="00D1550C">
              <w:rPr>
                <w:rFonts w:cs="Calibri"/>
                <w:b/>
                <w:bCs/>
                <w:color w:val="000000"/>
              </w:rPr>
              <w:t>218,4</w:t>
            </w:r>
          </w:p>
        </w:tc>
        <w:tc>
          <w:tcPr>
            <w:tcW w:w="1418" w:type="dxa"/>
            <w:shd w:val="clear" w:color="000000" w:fill="BDD7EE"/>
            <w:noWrap/>
            <w:vAlign w:val="center"/>
            <w:hideMark/>
          </w:tcPr>
          <w:p w:rsidR="00CC15AB" w:rsidRPr="00D1550C" w:rsidRDefault="00CC15AB" w:rsidP="00CC15AB">
            <w:pPr>
              <w:jc w:val="center"/>
              <w:rPr>
                <w:rFonts w:cs="Calibri"/>
                <w:b/>
                <w:bCs/>
                <w:color w:val="000000"/>
              </w:rPr>
            </w:pPr>
            <w:r w:rsidRPr="00D1550C">
              <w:rPr>
                <w:rFonts w:cs="Calibri"/>
                <w:b/>
                <w:bCs/>
                <w:color w:val="000000"/>
              </w:rPr>
              <w:t>275,3</w:t>
            </w:r>
          </w:p>
        </w:tc>
      </w:tr>
      <w:tr w:rsidR="00CC15AB" w:rsidRPr="00D1550C" w:rsidTr="002103EF">
        <w:trPr>
          <w:trHeight w:val="510"/>
        </w:trPr>
        <w:tc>
          <w:tcPr>
            <w:tcW w:w="5949" w:type="dxa"/>
            <w:shd w:val="clear" w:color="auto" w:fill="auto"/>
            <w:noWrap/>
            <w:vAlign w:val="center"/>
            <w:hideMark/>
          </w:tcPr>
          <w:p w:rsidR="00CC15AB" w:rsidRPr="00D1550C" w:rsidRDefault="00CC15AB" w:rsidP="00CC15AB">
            <w:pPr>
              <w:ind w:firstLineChars="9" w:firstLine="22"/>
              <w:rPr>
                <w:rFonts w:cs="Calibri"/>
                <w:color w:val="000000"/>
              </w:rPr>
            </w:pPr>
            <w:r w:rsidRPr="00D1550C">
              <w:rPr>
                <w:rFonts w:cs="Calibri"/>
                <w:color w:val="000000"/>
              </w:rPr>
              <w:t>1. Government units</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0,8</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0,3</w:t>
            </w:r>
          </w:p>
        </w:tc>
        <w:tc>
          <w:tcPr>
            <w:tcW w:w="1418"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6,9</w:t>
            </w:r>
          </w:p>
        </w:tc>
      </w:tr>
      <w:tr w:rsidR="00CC15AB" w:rsidRPr="00D1550C" w:rsidTr="002103EF">
        <w:trPr>
          <w:trHeight w:val="510"/>
        </w:trPr>
        <w:tc>
          <w:tcPr>
            <w:tcW w:w="5949" w:type="dxa"/>
            <w:shd w:val="clear" w:color="auto" w:fill="auto"/>
            <w:vAlign w:val="center"/>
            <w:hideMark/>
          </w:tcPr>
          <w:p w:rsidR="00CC15AB" w:rsidRPr="00D1550C" w:rsidRDefault="00CC15AB" w:rsidP="00CC15AB">
            <w:pPr>
              <w:rPr>
                <w:rFonts w:cs="Calibri"/>
                <w:color w:val="000000"/>
              </w:rPr>
            </w:pPr>
            <w:r w:rsidRPr="00D1550C">
              <w:rPr>
                <w:rFonts w:cs="Calibri"/>
                <w:color w:val="000000"/>
              </w:rPr>
              <w:t>2. Financial corporations, nonfinancial corporations, households, and NPISHs</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292,9</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218,1</w:t>
            </w:r>
          </w:p>
        </w:tc>
        <w:tc>
          <w:tcPr>
            <w:tcW w:w="1418"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268,4</w:t>
            </w:r>
          </w:p>
        </w:tc>
      </w:tr>
      <w:tr w:rsidR="00CC15AB" w:rsidRPr="00D1550C" w:rsidTr="002103EF">
        <w:trPr>
          <w:trHeight w:val="510"/>
        </w:trPr>
        <w:tc>
          <w:tcPr>
            <w:tcW w:w="5949" w:type="dxa"/>
            <w:shd w:val="clear" w:color="auto" w:fill="auto"/>
            <w:vAlign w:val="center"/>
            <w:hideMark/>
          </w:tcPr>
          <w:p w:rsidR="00CC15AB" w:rsidRPr="00D1550C" w:rsidRDefault="00CC15AB" w:rsidP="00CC15AB">
            <w:pPr>
              <w:ind w:left="447" w:hanging="1"/>
              <w:rPr>
                <w:rFonts w:cs="Calibri"/>
                <w:color w:val="000000"/>
              </w:rPr>
            </w:pPr>
            <w:r w:rsidRPr="00D1550C">
              <w:rPr>
                <w:rFonts w:cs="Calibri"/>
                <w:color w:val="000000"/>
              </w:rPr>
              <w:t>Personal transfers (current transfers between resident and nonresident households)</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111,7</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99,3</w:t>
            </w:r>
          </w:p>
        </w:tc>
        <w:tc>
          <w:tcPr>
            <w:tcW w:w="1418"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135,2</w:t>
            </w:r>
          </w:p>
        </w:tc>
      </w:tr>
      <w:tr w:rsidR="00CC15AB" w:rsidRPr="00D1550C" w:rsidTr="002103EF">
        <w:trPr>
          <w:trHeight w:val="510"/>
        </w:trPr>
        <w:tc>
          <w:tcPr>
            <w:tcW w:w="5949" w:type="dxa"/>
            <w:shd w:val="clear" w:color="auto" w:fill="auto"/>
            <w:noWrap/>
            <w:vAlign w:val="center"/>
            <w:hideMark/>
          </w:tcPr>
          <w:p w:rsidR="00CC15AB" w:rsidRPr="00D1550C" w:rsidRDefault="00CC15AB" w:rsidP="00CC15AB">
            <w:pPr>
              <w:ind w:firstLineChars="186" w:firstLine="446"/>
              <w:rPr>
                <w:rFonts w:cs="Calibri"/>
                <w:color w:val="000000"/>
              </w:rPr>
            </w:pPr>
            <w:r w:rsidRPr="00D1550C">
              <w:rPr>
                <w:rFonts w:cs="Calibri"/>
                <w:color w:val="000000"/>
              </w:rPr>
              <w:t>Other current transfers</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181,2</w:t>
            </w:r>
          </w:p>
        </w:tc>
        <w:tc>
          <w:tcPr>
            <w:tcW w:w="1559"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118,9</w:t>
            </w:r>
          </w:p>
        </w:tc>
        <w:tc>
          <w:tcPr>
            <w:tcW w:w="1418" w:type="dxa"/>
            <w:shd w:val="clear" w:color="auto" w:fill="auto"/>
            <w:noWrap/>
            <w:vAlign w:val="center"/>
            <w:hideMark/>
          </w:tcPr>
          <w:p w:rsidR="00CC15AB" w:rsidRPr="00D1550C" w:rsidRDefault="00CC15AB" w:rsidP="00CC15AB">
            <w:pPr>
              <w:jc w:val="center"/>
              <w:rPr>
                <w:rFonts w:cs="Calibri"/>
                <w:color w:val="000000"/>
              </w:rPr>
            </w:pPr>
            <w:r w:rsidRPr="00D1550C">
              <w:rPr>
                <w:rFonts w:cs="Calibri"/>
                <w:color w:val="000000"/>
              </w:rPr>
              <w:t>133,3</w:t>
            </w:r>
          </w:p>
        </w:tc>
      </w:tr>
    </w:tbl>
    <w:p w:rsidR="009304D9" w:rsidRPr="00D1550C" w:rsidRDefault="009304D9" w:rsidP="00A835D8">
      <w:pPr>
        <w:ind w:right="282"/>
        <w:jc w:val="right"/>
        <w:rPr>
          <w:i/>
          <w:sz w:val="20"/>
          <w:szCs w:val="20"/>
        </w:rPr>
      </w:pPr>
    </w:p>
    <w:p w:rsidR="009304D9" w:rsidRPr="00D1550C" w:rsidRDefault="009304D9" w:rsidP="009304D9">
      <w:pPr>
        <w:jc w:val="both"/>
      </w:pPr>
    </w:p>
    <w:p w:rsidR="009304D9" w:rsidRPr="00D1550C" w:rsidRDefault="009304D9" w:rsidP="009304D9">
      <w:pPr>
        <w:jc w:val="both"/>
        <w:rPr>
          <w:rFonts w:cs="Arial"/>
        </w:rPr>
        <w:sectPr w:rsidR="009304D9" w:rsidRPr="00D1550C" w:rsidSect="00A835D8">
          <w:pgSz w:w="11906" w:h="16838" w:code="9"/>
          <w:pgMar w:top="737" w:right="567" w:bottom="1531" w:left="709" w:header="709" w:footer="709" w:gutter="0"/>
          <w:cols w:space="708"/>
          <w:titlePg/>
          <w:docGrid w:linePitch="360"/>
        </w:sectPr>
      </w:pPr>
    </w:p>
    <w:p w:rsidR="009304D9" w:rsidRPr="00D1550C" w:rsidRDefault="009304D9" w:rsidP="009304D9">
      <w:pPr>
        <w:ind w:right="54"/>
        <w:jc w:val="right"/>
        <w:rPr>
          <w:i/>
          <w:sz w:val="22"/>
          <w:szCs w:val="22"/>
        </w:rPr>
      </w:pPr>
      <w:r w:rsidRPr="00D1550C">
        <w:rPr>
          <w:i/>
          <w:sz w:val="22"/>
          <w:szCs w:val="22"/>
        </w:rPr>
        <w:lastRenderedPageBreak/>
        <w:t>Addenda 1</w:t>
      </w:r>
      <w:r w:rsidR="00FA4977" w:rsidRPr="00D1550C">
        <w:rPr>
          <w:i/>
          <w:sz w:val="22"/>
          <w:szCs w:val="22"/>
        </w:rPr>
        <w:t>2</w:t>
      </w:r>
    </w:p>
    <w:p w:rsidR="009304D9" w:rsidRPr="00D1550C" w:rsidRDefault="00357263" w:rsidP="009304D9">
      <w:pPr>
        <w:pStyle w:val="1"/>
        <w:ind w:left="34"/>
        <w:jc w:val="center"/>
        <w:rPr>
          <w:rFonts w:ascii="Calibri" w:hAnsi="Calibri"/>
          <w:sz w:val="26"/>
          <w:szCs w:val="26"/>
          <w:lang w:val="en-US"/>
        </w:rPr>
      </w:pPr>
      <w:bookmarkStart w:id="36" w:name="_Toc19615966"/>
      <w:bookmarkStart w:id="37" w:name="_Toc83291139"/>
      <w:r w:rsidRPr="00D1550C">
        <w:rPr>
          <w:rFonts w:ascii="Calibri" w:hAnsi="Calibri" w:cs="Calibri"/>
          <w:sz w:val="26"/>
          <w:szCs w:val="26"/>
          <w:lang w:val="en-US" w:eastAsia="ru-RU"/>
        </w:rPr>
        <w:t xml:space="preserve">NET </w:t>
      </w:r>
      <w:r w:rsidR="009304D9" w:rsidRPr="00D1550C">
        <w:rPr>
          <w:rFonts w:ascii="Calibri" w:hAnsi="Calibri" w:cs="Calibri"/>
          <w:sz w:val="26"/>
          <w:szCs w:val="26"/>
          <w:lang w:val="en-US" w:eastAsia="ru-RU"/>
        </w:rPr>
        <w:t xml:space="preserve">INFLOWS OF FOREIGN DIRECT INVESTMENT </w:t>
      </w:r>
      <w:r w:rsidR="005A353C" w:rsidRPr="00D1550C">
        <w:rPr>
          <w:rFonts w:ascii="Calibri" w:hAnsi="Calibri" w:cs="Calibri"/>
          <w:sz w:val="26"/>
          <w:szCs w:val="26"/>
          <w:lang w:val="en-US" w:eastAsia="ru-RU"/>
        </w:rPr>
        <w:t>FOR</w:t>
      </w:r>
      <w:r w:rsidR="00E05168" w:rsidRPr="00D1550C">
        <w:rPr>
          <w:rFonts w:ascii="Calibri" w:hAnsi="Calibri" w:cs="Calibri"/>
          <w:sz w:val="26"/>
          <w:szCs w:val="26"/>
          <w:lang w:val="en-US" w:eastAsia="ru-RU"/>
        </w:rPr>
        <w:t xml:space="preserve"> </w:t>
      </w:r>
      <w:r w:rsidR="00D93F6D" w:rsidRPr="00D1550C">
        <w:rPr>
          <w:rFonts w:ascii="Calibri" w:hAnsi="Calibri" w:cs="Calibri"/>
          <w:sz w:val="26"/>
          <w:szCs w:val="26"/>
          <w:lang w:val="en-US" w:eastAsia="ru-RU"/>
        </w:rPr>
        <w:t>THE FIRST HALF</w:t>
      </w:r>
      <w:r w:rsidR="00E05168" w:rsidRPr="00D1550C">
        <w:rPr>
          <w:rFonts w:ascii="Calibri" w:hAnsi="Calibri" w:cs="Calibri"/>
          <w:sz w:val="26"/>
          <w:szCs w:val="26"/>
          <w:lang w:val="en-US" w:eastAsia="ru-RU"/>
        </w:rPr>
        <w:t xml:space="preserve"> OF</w:t>
      </w:r>
      <w:r w:rsidR="009304D9" w:rsidRPr="00D1550C">
        <w:rPr>
          <w:rFonts w:ascii="Calibri" w:hAnsi="Calibri" w:cs="Calibri"/>
          <w:sz w:val="26"/>
          <w:szCs w:val="26"/>
          <w:lang w:val="en-US" w:eastAsia="ru-RU"/>
        </w:rPr>
        <w:t xml:space="preserve"> </w:t>
      </w:r>
      <w:r w:rsidR="00A05D91" w:rsidRPr="00D1550C">
        <w:rPr>
          <w:rFonts w:ascii="Calibri" w:hAnsi="Calibri" w:cs="Calibri"/>
          <w:sz w:val="26"/>
          <w:szCs w:val="26"/>
          <w:lang w:val="en-US"/>
        </w:rPr>
        <w:t>2020</w:t>
      </w:r>
      <w:r w:rsidR="00B33C6E" w:rsidRPr="00D1550C">
        <w:rPr>
          <w:rFonts w:ascii="Calibri" w:hAnsi="Calibri" w:cs="Calibri"/>
          <w:sz w:val="26"/>
          <w:szCs w:val="26"/>
          <w:lang w:val="en-US"/>
        </w:rPr>
        <w:t xml:space="preserve"> AND </w:t>
      </w:r>
      <w:r w:rsidR="009304D9" w:rsidRPr="00D1550C">
        <w:rPr>
          <w:rFonts w:ascii="Calibri" w:hAnsi="Calibri" w:cs="Calibri"/>
          <w:sz w:val="26"/>
          <w:szCs w:val="26"/>
          <w:lang w:val="en-US"/>
        </w:rPr>
        <w:t>20</w:t>
      </w:r>
      <w:r w:rsidR="00A05D91" w:rsidRPr="00D1550C">
        <w:rPr>
          <w:rFonts w:ascii="Calibri" w:hAnsi="Calibri" w:cs="Calibri"/>
          <w:sz w:val="26"/>
          <w:szCs w:val="26"/>
          <w:lang w:val="en-US"/>
        </w:rPr>
        <w:t>21</w:t>
      </w:r>
      <w:r w:rsidR="009304D9" w:rsidRPr="00D1550C">
        <w:rPr>
          <w:rFonts w:ascii="Calibri" w:hAnsi="Calibri" w:cs="Calibri"/>
          <w:sz w:val="26"/>
          <w:szCs w:val="26"/>
          <w:lang w:val="en-US"/>
        </w:rPr>
        <w:t>*</w:t>
      </w:r>
      <w:bookmarkEnd w:id="36"/>
      <w:bookmarkEnd w:id="37"/>
    </w:p>
    <w:p w:rsidR="00AD030C" w:rsidRPr="00D1550C" w:rsidRDefault="00AD030C" w:rsidP="00E6277C">
      <w:pPr>
        <w:ind w:right="-88"/>
        <w:jc w:val="right"/>
        <w:rPr>
          <w:i/>
          <w:sz w:val="20"/>
          <w:szCs w:val="20"/>
        </w:rPr>
      </w:pPr>
    </w:p>
    <w:p w:rsidR="009304D9" w:rsidRPr="00D1550C" w:rsidRDefault="009304D9" w:rsidP="00E6277C">
      <w:pPr>
        <w:ind w:right="-88"/>
        <w:jc w:val="right"/>
        <w:rPr>
          <w:i/>
          <w:sz w:val="20"/>
          <w:szCs w:val="20"/>
        </w:rPr>
      </w:pPr>
      <w:r w:rsidRPr="00D1550C">
        <w:rPr>
          <w:i/>
          <w:sz w:val="20"/>
          <w:szCs w:val="20"/>
        </w:rPr>
        <w:t>(mln. USD)</w:t>
      </w:r>
    </w:p>
    <w:tbl>
      <w:tblPr>
        <w:tblW w:w="149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1812"/>
        <w:gridCol w:w="1984"/>
        <w:gridCol w:w="1418"/>
        <w:gridCol w:w="1843"/>
        <w:gridCol w:w="1933"/>
        <w:gridCol w:w="1428"/>
      </w:tblGrid>
      <w:tr w:rsidR="00597449" w:rsidRPr="00D1550C" w:rsidTr="00CA1229">
        <w:trPr>
          <w:trHeight w:val="370"/>
        </w:trPr>
        <w:tc>
          <w:tcPr>
            <w:tcW w:w="4567" w:type="dxa"/>
            <w:vMerge w:val="restart"/>
            <w:tcBorders>
              <w:top w:val="single" w:sz="4" w:space="0" w:color="5B9BD5" w:themeColor="accent1"/>
              <w:left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b/>
                <w:color w:val="000000"/>
              </w:rPr>
            </w:pPr>
            <w:r w:rsidRPr="00D1550C">
              <w:rPr>
                <w:rFonts w:cs="Calibri"/>
                <w:b/>
                <w:color w:val="000000"/>
              </w:rPr>
              <w:t>Type of investment</w:t>
            </w:r>
          </w:p>
        </w:tc>
        <w:tc>
          <w:tcPr>
            <w:tcW w:w="1812" w:type="dxa"/>
            <w:vMerge w:val="restart"/>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597449" w:rsidRPr="00D1550C" w:rsidRDefault="00012729" w:rsidP="00D93F6D">
            <w:pPr>
              <w:jc w:val="center"/>
              <w:rPr>
                <w:rFonts w:asciiTheme="minorHAnsi" w:hAnsiTheme="minorHAnsi" w:cstheme="minorHAnsi"/>
                <w:b/>
                <w:color w:val="000000"/>
              </w:rPr>
            </w:pPr>
            <w:r w:rsidRPr="00D1550C">
              <w:rPr>
                <w:rFonts w:asciiTheme="minorHAnsi" w:hAnsiTheme="minorHAnsi" w:cstheme="minorHAnsi"/>
                <w:b/>
                <w:color w:val="000000"/>
              </w:rPr>
              <w:t xml:space="preserve">For </w:t>
            </w:r>
            <w:r w:rsidR="00D93F6D" w:rsidRPr="00D1550C">
              <w:rPr>
                <w:rFonts w:asciiTheme="minorHAnsi" w:hAnsiTheme="minorHAnsi" w:cstheme="minorHAnsi"/>
                <w:b/>
                <w:color w:val="000000"/>
              </w:rPr>
              <w:t>the 1</w:t>
            </w:r>
            <w:r w:rsidR="00D93F6D" w:rsidRPr="00D1550C">
              <w:rPr>
                <w:rFonts w:asciiTheme="minorHAnsi" w:hAnsiTheme="minorHAnsi" w:cstheme="minorHAnsi"/>
                <w:b/>
                <w:color w:val="000000"/>
                <w:sz w:val="32"/>
                <w:vertAlign w:val="superscript"/>
              </w:rPr>
              <w:t>st</w:t>
            </w:r>
            <w:r w:rsidRPr="00D1550C">
              <w:rPr>
                <w:rFonts w:asciiTheme="minorHAnsi" w:hAnsiTheme="minorHAnsi" w:cstheme="minorHAnsi"/>
                <w:b/>
                <w:color w:val="000000"/>
              </w:rPr>
              <w:t xml:space="preserve"> </w:t>
            </w:r>
            <w:r w:rsidR="00D93F6D" w:rsidRPr="00D1550C">
              <w:rPr>
                <w:rFonts w:asciiTheme="minorHAnsi" w:hAnsiTheme="minorHAnsi" w:cstheme="minorHAnsi"/>
                <w:b/>
                <w:color w:val="000000"/>
              </w:rPr>
              <w:t>half</w:t>
            </w:r>
            <w:r w:rsidRPr="00D1550C">
              <w:rPr>
                <w:rFonts w:asciiTheme="minorHAnsi" w:hAnsiTheme="minorHAnsi" w:cstheme="minorHAnsi"/>
                <w:b/>
                <w:color w:val="000000"/>
              </w:rPr>
              <w:br/>
              <w:t>of</w:t>
            </w:r>
            <w:r w:rsidR="00E80BE1" w:rsidRPr="00D1550C">
              <w:rPr>
                <w:rFonts w:asciiTheme="minorHAnsi" w:hAnsiTheme="minorHAnsi" w:cstheme="minorHAnsi"/>
                <w:b/>
                <w:color w:val="000000"/>
              </w:rPr>
              <w:t xml:space="preserve"> 2020</w:t>
            </w:r>
          </w:p>
        </w:tc>
        <w:tc>
          <w:tcPr>
            <w:tcW w:w="340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i/>
                <w:color w:val="000000"/>
              </w:rPr>
            </w:pPr>
            <w:r w:rsidRPr="00D1550C">
              <w:rPr>
                <w:rFonts w:cs="Calibri"/>
                <w:i/>
                <w:color w:val="000000"/>
              </w:rPr>
              <w:t>of which</w:t>
            </w:r>
          </w:p>
        </w:tc>
        <w:tc>
          <w:tcPr>
            <w:tcW w:w="1843" w:type="dxa"/>
            <w:vMerge w:val="restart"/>
            <w:tcBorders>
              <w:top w:val="single" w:sz="4" w:space="0" w:color="5B9BD5" w:themeColor="accent1"/>
              <w:left w:val="single" w:sz="4" w:space="0" w:color="5B9BD5" w:themeColor="accent1"/>
              <w:right w:val="single" w:sz="4" w:space="0" w:color="5B9BD5" w:themeColor="accent1"/>
            </w:tcBorders>
            <w:vAlign w:val="center"/>
          </w:tcPr>
          <w:p w:rsidR="00597449" w:rsidRPr="00D1550C" w:rsidRDefault="00D93F6D" w:rsidP="00D20C53">
            <w:pPr>
              <w:jc w:val="center"/>
              <w:rPr>
                <w:rFonts w:asciiTheme="minorHAnsi" w:hAnsiTheme="minorHAnsi" w:cstheme="minorHAnsi"/>
                <w:b/>
                <w:color w:val="000000"/>
              </w:rPr>
            </w:pPr>
            <w:r w:rsidRPr="00D1550C">
              <w:rPr>
                <w:rFonts w:asciiTheme="minorHAnsi" w:hAnsiTheme="minorHAnsi" w:cstheme="minorHAnsi"/>
                <w:b/>
                <w:color w:val="000000"/>
              </w:rPr>
              <w:t>For the 1</w:t>
            </w:r>
            <w:r w:rsidRPr="00D1550C">
              <w:rPr>
                <w:rFonts w:asciiTheme="minorHAnsi" w:hAnsiTheme="minorHAnsi" w:cstheme="minorHAnsi"/>
                <w:b/>
                <w:color w:val="000000"/>
                <w:sz w:val="32"/>
                <w:vertAlign w:val="superscript"/>
              </w:rPr>
              <w:t>st</w:t>
            </w:r>
            <w:r w:rsidRPr="00D1550C">
              <w:rPr>
                <w:rFonts w:asciiTheme="minorHAnsi" w:hAnsiTheme="minorHAnsi" w:cstheme="minorHAnsi"/>
                <w:b/>
                <w:color w:val="000000"/>
              </w:rPr>
              <w:t xml:space="preserve"> half</w:t>
            </w:r>
            <w:r w:rsidR="00012729" w:rsidRPr="00D1550C">
              <w:rPr>
                <w:rFonts w:asciiTheme="minorHAnsi" w:hAnsiTheme="minorHAnsi" w:cstheme="minorHAnsi"/>
                <w:b/>
                <w:color w:val="000000"/>
              </w:rPr>
              <w:br/>
              <w:t>of</w:t>
            </w:r>
            <w:r w:rsidR="00E80BE1" w:rsidRPr="00D1550C">
              <w:rPr>
                <w:rFonts w:asciiTheme="minorHAnsi" w:hAnsiTheme="minorHAnsi" w:cstheme="minorHAnsi"/>
                <w:b/>
                <w:color w:val="000000"/>
              </w:rPr>
              <w:t xml:space="preserve"> 2021</w:t>
            </w:r>
          </w:p>
        </w:tc>
        <w:tc>
          <w:tcPr>
            <w:tcW w:w="336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i/>
                <w:color w:val="000000"/>
              </w:rPr>
            </w:pPr>
            <w:r w:rsidRPr="00D1550C">
              <w:rPr>
                <w:rFonts w:cs="Calibri"/>
                <w:i/>
                <w:color w:val="000000"/>
              </w:rPr>
              <w:t>of which</w:t>
            </w:r>
          </w:p>
        </w:tc>
      </w:tr>
      <w:tr w:rsidR="00597449" w:rsidRPr="00D1550C" w:rsidTr="00CA1229">
        <w:trPr>
          <w:trHeight w:val="742"/>
        </w:trPr>
        <w:tc>
          <w:tcPr>
            <w:tcW w:w="4567" w:type="dxa"/>
            <w:vMerge/>
            <w:tcBorders>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b/>
                <w:color w:val="000000"/>
              </w:rPr>
            </w:pPr>
          </w:p>
        </w:tc>
        <w:tc>
          <w:tcPr>
            <w:tcW w:w="1812" w:type="dxa"/>
            <w:vMerge/>
            <w:tcBorders>
              <w:left w:val="single" w:sz="4" w:space="0" w:color="5B9BD5" w:themeColor="accent1"/>
              <w:bottom w:val="single" w:sz="4" w:space="0" w:color="5B9BD5" w:themeColor="accent1"/>
              <w:right w:val="single" w:sz="4" w:space="0" w:color="5B9BD5" w:themeColor="accent1"/>
            </w:tcBorders>
            <w:shd w:val="clear" w:color="auto" w:fill="auto"/>
            <w:vAlign w:val="center"/>
          </w:tcPr>
          <w:p w:rsidR="00597449" w:rsidRPr="00D1550C" w:rsidRDefault="00597449" w:rsidP="00597449">
            <w:pPr>
              <w:jc w:val="center"/>
              <w:rPr>
                <w:rFonts w:asciiTheme="minorHAnsi" w:hAnsiTheme="minorHAnsi" w:cstheme="minorHAnsi"/>
                <w:b/>
                <w:color w:val="000000"/>
              </w:rPr>
            </w:pP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non-financial companies</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banks</w:t>
            </w:r>
          </w:p>
        </w:tc>
        <w:tc>
          <w:tcPr>
            <w:tcW w:w="1843" w:type="dxa"/>
            <w:vMerge/>
            <w:tcBorders>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rPr>
                <w:rFonts w:asciiTheme="minorHAnsi" w:hAnsiTheme="minorHAnsi" w:cstheme="minorHAnsi"/>
                <w:b/>
                <w:color w:val="000000"/>
              </w:rPr>
            </w:pP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non-financial companies</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banks</w:t>
            </w:r>
          </w:p>
        </w:tc>
      </w:tr>
      <w:tr w:rsidR="00D93F6D" w:rsidRPr="00D1550C" w:rsidTr="00012729">
        <w:trPr>
          <w:trHeight w:val="55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D93F6D" w:rsidRPr="00D1550C" w:rsidRDefault="00D93F6D" w:rsidP="00D93F6D">
            <w:pPr>
              <w:rPr>
                <w:rFonts w:asciiTheme="minorHAnsi" w:hAnsiTheme="minorHAnsi" w:cstheme="minorHAnsi"/>
                <w:b/>
                <w:color w:val="000000"/>
              </w:rPr>
            </w:pPr>
            <w:r w:rsidRPr="00D1550C">
              <w:rPr>
                <w:rFonts w:cs="Calibri"/>
                <w:b/>
              </w:rPr>
              <w:t>Net inflows of investment</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93F6D" w:rsidRPr="00D1550C" w:rsidRDefault="00D93F6D" w:rsidP="00D93F6D">
            <w:pPr>
              <w:jc w:val="center"/>
              <w:rPr>
                <w:rFonts w:asciiTheme="minorHAnsi" w:hAnsiTheme="minorHAnsi" w:cstheme="minorHAnsi"/>
                <w:b/>
                <w:color w:val="000000"/>
              </w:rPr>
            </w:pPr>
            <w:r w:rsidRPr="00D1550C">
              <w:rPr>
                <w:rFonts w:asciiTheme="minorHAnsi" w:hAnsiTheme="minorHAnsi" w:cstheme="minorHAnsi"/>
                <w:b/>
                <w:color w:val="000000"/>
              </w:rPr>
              <w:t xml:space="preserve">693,0 </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93F6D" w:rsidRPr="00D1550C" w:rsidRDefault="00D93F6D" w:rsidP="00D93F6D">
            <w:pPr>
              <w:jc w:val="center"/>
              <w:rPr>
                <w:rFonts w:asciiTheme="minorHAnsi" w:hAnsiTheme="minorHAnsi" w:cstheme="minorHAnsi"/>
                <w:b/>
                <w:color w:val="000000"/>
              </w:rPr>
            </w:pPr>
            <w:r w:rsidRPr="00D1550C">
              <w:rPr>
                <w:rFonts w:asciiTheme="minorHAnsi" w:hAnsiTheme="minorHAnsi" w:cstheme="minorHAnsi"/>
                <w:b/>
                <w:color w:val="000000"/>
              </w:rPr>
              <w:t xml:space="preserve">641,2 </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93F6D" w:rsidRPr="00D1550C" w:rsidRDefault="00D93F6D" w:rsidP="00D93F6D">
            <w:pPr>
              <w:jc w:val="center"/>
              <w:rPr>
                <w:rFonts w:asciiTheme="minorHAnsi" w:hAnsiTheme="minorHAnsi" w:cstheme="minorHAnsi"/>
                <w:b/>
                <w:color w:val="000000"/>
              </w:rPr>
            </w:pPr>
            <w:r w:rsidRPr="00D1550C">
              <w:rPr>
                <w:rFonts w:asciiTheme="minorHAnsi" w:hAnsiTheme="minorHAnsi" w:cstheme="minorHAnsi"/>
                <w:b/>
                <w:color w:val="000000"/>
              </w:rPr>
              <w:t xml:space="preserve">51,7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93F6D" w:rsidRPr="00D1550C" w:rsidRDefault="00D93F6D" w:rsidP="00D93F6D">
            <w:pPr>
              <w:jc w:val="center"/>
              <w:rPr>
                <w:rFonts w:asciiTheme="minorHAnsi" w:hAnsiTheme="minorHAnsi" w:cstheme="minorHAnsi"/>
                <w:b/>
                <w:color w:val="000000"/>
              </w:rPr>
            </w:pPr>
            <w:r w:rsidRPr="00D1550C">
              <w:rPr>
                <w:rFonts w:asciiTheme="minorHAnsi" w:hAnsiTheme="minorHAnsi" w:cstheme="minorHAnsi"/>
                <w:b/>
                <w:color w:val="000000"/>
              </w:rPr>
              <w:t xml:space="preserve">1 123,2 </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93F6D" w:rsidRPr="00D1550C" w:rsidRDefault="00D93F6D" w:rsidP="00D93F6D">
            <w:pPr>
              <w:jc w:val="center"/>
              <w:rPr>
                <w:rFonts w:asciiTheme="minorHAnsi" w:hAnsiTheme="minorHAnsi" w:cstheme="minorHAnsi"/>
                <w:b/>
                <w:color w:val="000000"/>
              </w:rPr>
            </w:pPr>
            <w:r w:rsidRPr="00D1550C">
              <w:rPr>
                <w:rFonts w:asciiTheme="minorHAnsi" w:hAnsiTheme="minorHAnsi" w:cstheme="minorHAnsi"/>
                <w:b/>
                <w:color w:val="000000"/>
              </w:rPr>
              <w:t xml:space="preserve">1 028,7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D93F6D" w:rsidRPr="00D1550C" w:rsidRDefault="00D93F6D" w:rsidP="00D93F6D">
            <w:pPr>
              <w:jc w:val="center"/>
              <w:rPr>
                <w:rFonts w:asciiTheme="minorHAnsi" w:hAnsiTheme="minorHAnsi" w:cstheme="minorHAnsi"/>
                <w:b/>
                <w:color w:val="000000"/>
              </w:rPr>
            </w:pPr>
            <w:r w:rsidRPr="00D1550C">
              <w:rPr>
                <w:rFonts w:asciiTheme="minorHAnsi" w:hAnsiTheme="minorHAnsi" w:cstheme="minorHAnsi"/>
                <w:b/>
                <w:color w:val="000000"/>
              </w:rPr>
              <w:t xml:space="preserve">94,6 </w:t>
            </w:r>
          </w:p>
        </w:tc>
      </w:tr>
      <w:tr w:rsidR="00D93F6D" w:rsidRPr="00D1550C" w:rsidTr="001C10C8">
        <w:trPr>
          <w:trHeight w:val="32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93F6D" w:rsidRPr="00D1550C" w:rsidRDefault="00D93F6D" w:rsidP="00D93F6D">
            <w:pPr>
              <w:rPr>
                <w:rFonts w:cs="Calibri"/>
              </w:rPr>
            </w:pPr>
            <w:r w:rsidRPr="00D1550C">
              <w:rPr>
                <w:rFonts w:cs="Calibri"/>
              </w:rPr>
              <w:t>of which</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bottom"/>
          </w:tcPr>
          <w:p w:rsidR="00D93F6D" w:rsidRPr="00D1550C" w:rsidRDefault="00D93F6D" w:rsidP="00D93F6D">
            <w:pPr>
              <w:jc w:val="center"/>
              <w:rPr>
                <w:rFonts w:asciiTheme="minorHAnsi" w:hAnsiTheme="minorHAnsi" w:cstheme="minorHAnsi"/>
                <w:color w:val="000000"/>
              </w:rPr>
            </w:pP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D93F6D" w:rsidRPr="00D1550C" w:rsidRDefault="00D93F6D" w:rsidP="00D93F6D">
            <w:pPr>
              <w:jc w:val="center"/>
              <w:rPr>
                <w:rFonts w:asciiTheme="minorHAnsi" w:hAnsiTheme="minorHAnsi" w:cstheme="minorHAnsi"/>
                <w:color w:val="000000"/>
              </w:rPr>
            </w:pP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D93F6D" w:rsidRPr="00D1550C" w:rsidRDefault="00D93F6D" w:rsidP="00D93F6D">
            <w:pPr>
              <w:jc w:val="center"/>
              <w:rPr>
                <w:rFonts w:asciiTheme="minorHAnsi" w:hAnsiTheme="minorHAnsi" w:cstheme="minorHAnsi"/>
                <w:color w:val="000000"/>
              </w:rPr>
            </w:pP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D93F6D" w:rsidRPr="00D1550C" w:rsidRDefault="00D93F6D" w:rsidP="00D93F6D">
            <w:pPr>
              <w:jc w:val="center"/>
              <w:rPr>
                <w:rFonts w:asciiTheme="minorHAnsi" w:hAnsiTheme="minorHAnsi" w:cstheme="minorHAnsi"/>
                <w:color w:val="000000"/>
              </w:rPr>
            </w:pP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D93F6D" w:rsidRPr="00D1550C" w:rsidRDefault="00D93F6D" w:rsidP="00D93F6D">
            <w:pPr>
              <w:jc w:val="center"/>
              <w:rPr>
                <w:rFonts w:asciiTheme="minorHAnsi" w:hAnsiTheme="minorHAnsi" w:cstheme="minorHAnsi"/>
                <w:color w:val="000000"/>
              </w:rPr>
            </w:pP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D93F6D" w:rsidRPr="00D1550C" w:rsidRDefault="00D93F6D" w:rsidP="00D93F6D">
            <w:pPr>
              <w:jc w:val="center"/>
              <w:rPr>
                <w:rFonts w:asciiTheme="minorHAnsi" w:hAnsiTheme="minorHAnsi" w:cstheme="minorHAnsi"/>
                <w:color w:val="000000"/>
              </w:rPr>
            </w:pPr>
          </w:p>
        </w:tc>
      </w:tr>
      <w:tr w:rsidR="00D93F6D" w:rsidRPr="00D1550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D93F6D" w:rsidRPr="00D1550C" w:rsidRDefault="00D93F6D" w:rsidP="00D93F6D">
            <w:pPr>
              <w:ind w:left="175"/>
              <w:rPr>
                <w:rFonts w:cs="Calibri"/>
              </w:rPr>
            </w:pPr>
            <w:r w:rsidRPr="00D1550C">
              <w:rPr>
                <w:rFonts w:cs="Calibri"/>
              </w:rPr>
              <w:t>net investment in capital**</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497,2 </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459,9 </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37,3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790,0 </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705,6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84,4 </w:t>
            </w:r>
          </w:p>
        </w:tc>
      </w:tr>
      <w:tr w:rsidR="00D93F6D" w:rsidRPr="00D1550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D93F6D" w:rsidRPr="00D1550C" w:rsidRDefault="00D93F6D" w:rsidP="00D93F6D">
            <w:pPr>
              <w:ind w:left="175"/>
              <w:rPr>
                <w:rFonts w:cs="Calibri"/>
              </w:rPr>
            </w:pPr>
            <w:r w:rsidRPr="00D1550C">
              <w:rPr>
                <w:rFonts w:cs="Calibri"/>
              </w:rPr>
              <w:t>reinvestment of earnings**</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198,5 </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184,1 </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14,4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282,5 </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272,3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10,2 </w:t>
            </w:r>
          </w:p>
        </w:tc>
      </w:tr>
      <w:tr w:rsidR="00D93F6D" w:rsidRPr="00D1550C" w:rsidTr="00012729">
        <w:trPr>
          <w:trHeight w:val="115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D93F6D" w:rsidRPr="00D1550C" w:rsidRDefault="00D93F6D" w:rsidP="00D93F6D">
            <w:pPr>
              <w:ind w:left="175"/>
              <w:rPr>
                <w:rFonts w:cs="Calibri"/>
              </w:rPr>
            </w:pPr>
            <w:r w:rsidRPr="00D1550C">
              <w:rPr>
                <w:rFonts w:cs="Calibri"/>
              </w:rPr>
              <w:t>net provision of loans from parent companies (including accrued but unpaid interest)</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101,8 </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101,8 </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0,0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195,1 </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195,1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0,0 </w:t>
            </w:r>
          </w:p>
        </w:tc>
      </w:tr>
      <w:tr w:rsidR="00D93F6D" w:rsidRPr="00D1550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D93F6D" w:rsidRPr="00D1550C" w:rsidRDefault="00D93F6D" w:rsidP="00D93F6D">
            <w:pPr>
              <w:ind w:left="175"/>
              <w:rPr>
                <w:rFonts w:cs="Calibri"/>
              </w:rPr>
            </w:pPr>
            <w:r w:rsidRPr="00D1550C">
              <w:rPr>
                <w:rFonts w:cs="Calibri"/>
              </w:rPr>
              <w:t>net inflows to companies operating under PSA</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-104,6 </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-104,6 </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0,0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-144,4 </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-144,4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93F6D" w:rsidRPr="00D1550C" w:rsidRDefault="00D93F6D" w:rsidP="00D93F6D">
            <w:pPr>
              <w:jc w:val="center"/>
              <w:rPr>
                <w:rFonts w:asciiTheme="minorHAnsi" w:hAnsiTheme="minorHAnsi" w:cstheme="minorHAnsi"/>
                <w:color w:val="000000"/>
              </w:rPr>
            </w:pPr>
            <w:r w:rsidRPr="00D1550C">
              <w:rPr>
                <w:rFonts w:asciiTheme="minorHAnsi" w:hAnsiTheme="minorHAnsi" w:cstheme="minorHAnsi"/>
                <w:color w:val="000000"/>
              </w:rPr>
              <w:t xml:space="preserve">0,0 </w:t>
            </w:r>
          </w:p>
        </w:tc>
      </w:tr>
    </w:tbl>
    <w:p w:rsidR="00A87D15" w:rsidRPr="00D1550C" w:rsidRDefault="00A87D15" w:rsidP="0015081D">
      <w:pPr>
        <w:spacing w:before="120"/>
        <w:ind w:left="142"/>
        <w:jc w:val="both"/>
        <w:rPr>
          <w:rFonts w:cs="Calibri"/>
          <w:i/>
          <w:color w:val="000000"/>
          <w:sz w:val="20"/>
          <w:szCs w:val="20"/>
        </w:rPr>
      </w:pPr>
      <w:r w:rsidRPr="00D1550C">
        <w:rPr>
          <w:rFonts w:cs="Calibri"/>
          <w:i/>
          <w:color w:val="000000"/>
          <w:sz w:val="20"/>
          <w:szCs w:val="20"/>
        </w:rPr>
        <w:t>*</w:t>
      </w:r>
      <w:r w:rsidR="0015081D" w:rsidRPr="00D1550C">
        <w:rPr>
          <w:rFonts w:cs="Calibri"/>
          <w:i/>
          <w:color w:val="000000"/>
          <w:sz w:val="20"/>
          <w:szCs w:val="20"/>
        </w:rPr>
        <w:t xml:space="preserve"> </w:t>
      </w:r>
      <w:r w:rsidRPr="00D1550C">
        <w:rPr>
          <w:rFonts w:cs="Calibri"/>
          <w:i/>
          <w:color w:val="000000"/>
          <w:sz w:val="20"/>
          <w:szCs w:val="20"/>
        </w:rPr>
        <w:t>data reflects</w:t>
      </w:r>
      <w:r w:rsidR="00847409" w:rsidRPr="00D1550C">
        <w:rPr>
          <w:rFonts w:cs="Calibri"/>
          <w:i/>
          <w:color w:val="000000"/>
          <w:sz w:val="20"/>
          <w:szCs w:val="20"/>
        </w:rPr>
        <w:t xml:space="preserve"> difference in</w:t>
      </w:r>
      <w:r w:rsidRPr="00D1550C">
        <w:rPr>
          <w:rFonts w:cs="Calibri"/>
          <w:i/>
          <w:color w:val="000000"/>
          <w:sz w:val="20"/>
          <w:szCs w:val="20"/>
        </w:rPr>
        <w:t xml:space="preserve"> </w:t>
      </w:r>
      <w:r w:rsidR="00847409" w:rsidRPr="00D1550C">
        <w:rPr>
          <w:rFonts w:cs="Calibri"/>
          <w:i/>
          <w:color w:val="000000"/>
          <w:sz w:val="20"/>
          <w:szCs w:val="20"/>
        </w:rPr>
        <w:t xml:space="preserve">receipt </w:t>
      </w:r>
      <w:r w:rsidRPr="00D1550C">
        <w:rPr>
          <w:rFonts w:cs="Calibri"/>
          <w:i/>
          <w:color w:val="000000"/>
          <w:sz w:val="20"/>
          <w:szCs w:val="20"/>
        </w:rPr>
        <w:t>flows and repatriation of investment and differ</w:t>
      </w:r>
      <w:r w:rsidR="00847409" w:rsidRPr="00D1550C">
        <w:rPr>
          <w:rFonts w:cs="Calibri"/>
          <w:i/>
          <w:color w:val="000000"/>
          <w:sz w:val="20"/>
          <w:szCs w:val="20"/>
        </w:rPr>
        <w:t>s</w:t>
      </w:r>
      <w:r w:rsidRPr="00D1550C">
        <w:rPr>
          <w:rFonts w:cs="Calibri"/>
          <w:i/>
          <w:color w:val="000000"/>
          <w:sz w:val="20"/>
          <w:szCs w:val="20"/>
        </w:rPr>
        <w:t xml:space="preserve"> from results of other surveys, conducted by State statistics committee for calculation of mastered investments.</w:t>
      </w:r>
      <w:r w:rsidR="00847409" w:rsidRPr="00D1550C">
        <w:rPr>
          <w:rFonts w:cs="Calibri"/>
          <w:i/>
          <w:color w:val="000000"/>
          <w:sz w:val="20"/>
          <w:szCs w:val="20"/>
        </w:rPr>
        <w:t xml:space="preserve"> The survey conducted based on the methodology of balance of payments collects information only on net changes in </w:t>
      </w:r>
      <w:r w:rsidR="005A2681" w:rsidRPr="00D1550C">
        <w:rPr>
          <w:rFonts w:cs="Calibri"/>
          <w:i/>
          <w:color w:val="000000"/>
          <w:sz w:val="20"/>
          <w:szCs w:val="20"/>
        </w:rPr>
        <w:t xml:space="preserve">non-residents’ </w:t>
      </w:r>
      <w:r w:rsidR="00847409" w:rsidRPr="00D1550C">
        <w:rPr>
          <w:rFonts w:cs="Calibri"/>
          <w:i/>
          <w:color w:val="000000"/>
          <w:sz w:val="20"/>
          <w:szCs w:val="20"/>
        </w:rPr>
        <w:t>investment amount in capital</w:t>
      </w:r>
      <w:r w:rsidR="00667176" w:rsidRPr="00D1550C">
        <w:rPr>
          <w:rFonts w:cs="Calibri"/>
          <w:i/>
          <w:color w:val="000000"/>
          <w:sz w:val="20"/>
          <w:szCs w:val="20"/>
        </w:rPr>
        <w:t xml:space="preserve"> and can differ from data produced by other agencies</w:t>
      </w:r>
      <w:r w:rsidR="00847409" w:rsidRPr="00D1550C">
        <w:rPr>
          <w:rFonts w:cs="Calibri"/>
          <w:i/>
          <w:color w:val="000000"/>
          <w:sz w:val="20"/>
          <w:szCs w:val="20"/>
        </w:rPr>
        <w:t>.</w:t>
      </w:r>
    </w:p>
    <w:p w:rsidR="00A87D15" w:rsidRPr="00D1550C" w:rsidRDefault="00A87D15" w:rsidP="00A87D15">
      <w:pPr>
        <w:ind w:left="142"/>
        <w:jc w:val="both"/>
        <w:rPr>
          <w:rFonts w:cs="Calibri"/>
          <w:i/>
          <w:sz w:val="20"/>
          <w:szCs w:val="20"/>
        </w:rPr>
      </w:pPr>
      <w:r w:rsidRPr="00D1550C">
        <w:rPr>
          <w:rFonts w:cs="Calibri"/>
          <w:i/>
          <w:color w:val="000000"/>
          <w:sz w:val="20"/>
          <w:szCs w:val="20"/>
        </w:rPr>
        <w:t>**</w:t>
      </w:r>
      <w:r w:rsidR="0015081D" w:rsidRPr="00D1550C">
        <w:rPr>
          <w:rFonts w:cs="Calibri"/>
          <w:i/>
          <w:color w:val="000000"/>
          <w:sz w:val="20"/>
          <w:szCs w:val="20"/>
        </w:rPr>
        <w:t xml:space="preserve"> </w:t>
      </w:r>
      <w:r w:rsidRPr="00D1550C">
        <w:rPr>
          <w:rFonts w:cs="Calibri"/>
          <w:i/>
          <w:color w:val="000000"/>
          <w:sz w:val="20"/>
          <w:szCs w:val="20"/>
        </w:rPr>
        <w:t>net change in investment of foreign investors in capital of non-financial companies</w:t>
      </w:r>
      <w:r w:rsidR="0015081D" w:rsidRPr="00D1550C">
        <w:rPr>
          <w:rFonts w:cs="Calibri"/>
          <w:i/>
          <w:color w:val="000000"/>
          <w:sz w:val="20"/>
          <w:szCs w:val="20"/>
        </w:rPr>
        <w:t xml:space="preserve"> as well as retained earnings are</w:t>
      </w:r>
      <w:r w:rsidRPr="00D1550C">
        <w:rPr>
          <w:rFonts w:cs="Calibri"/>
          <w:i/>
          <w:color w:val="000000"/>
          <w:sz w:val="20"/>
          <w:szCs w:val="20"/>
        </w:rPr>
        <w:t xml:space="preserve"> determined on the basis of a survey conducted by State statistics committee.</w:t>
      </w:r>
    </w:p>
    <w:p w:rsidR="009304D9" w:rsidRPr="00D1550C" w:rsidRDefault="009304D9" w:rsidP="009304D9">
      <w:pPr>
        <w:jc w:val="both"/>
        <w:rPr>
          <w:rFonts w:cs="Arial"/>
        </w:rPr>
        <w:sectPr w:rsidR="009304D9" w:rsidRPr="00D1550C" w:rsidSect="00F40724">
          <w:footerReference w:type="first" r:id="rId50"/>
          <w:pgSz w:w="16838" w:h="11906" w:orient="landscape" w:code="9"/>
          <w:pgMar w:top="567" w:right="1021" w:bottom="1133" w:left="737" w:header="709" w:footer="709" w:gutter="0"/>
          <w:cols w:space="708"/>
          <w:titlePg/>
          <w:docGrid w:linePitch="360"/>
        </w:sectPr>
      </w:pPr>
    </w:p>
    <w:p w:rsidR="009304D9" w:rsidRPr="00D1550C" w:rsidRDefault="009304D9" w:rsidP="009304D9">
      <w:pPr>
        <w:jc w:val="right"/>
        <w:rPr>
          <w:i/>
          <w:sz w:val="22"/>
          <w:szCs w:val="22"/>
        </w:rPr>
      </w:pPr>
      <w:r w:rsidRPr="00D1550C">
        <w:rPr>
          <w:i/>
          <w:sz w:val="22"/>
          <w:szCs w:val="22"/>
        </w:rPr>
        <w:lastRenderedPageBreak/>
        <w:t>Addenda 1</w:t>
      </w:r>
      <w:r w:rsidR="00FA4977" w:rsidRPr="00D1550C">
        <w:rPr>
          <w:i/>
          <w:sz w:val="22"/>
          <w:szCs w:val="22"/>
        </w:rPr>
        <w:t>3</w:t>
      </w:r>
      <w:r w:rsidRPr="00D1550C">
        <w:rPr>
          <w:i/>
          <w:sz w:val="22"/>
          <w:szCs w:val="22"/>
        </w:rPr>
        <w:t>.1</w:t>
      </w:r>
    </w:p>
    <w:p w:rsidR="009304D9" w:rsidRPr="00D1550C" w:rsidRDefault="009304D9" w:rsidP="009304D9">
      <w:pPr>
        <w:pStyle w:val="1"/>
        <w:ind w:left="0"/>
        <w:jc w:val="center"/>
        <w:rPr>
          <w:rFonts w:ascii="Calibri" w:hAnsi="Calibri" w:cs="Calibri"/>
          <w:sz w:val="26"/>
          <w:szCs w:val="26"/>
          <w:lang w:val="en-US"/>
        </w:rPr>
      </w:pPr>
      <w:bookmarkStart w:id="38" w:name="_Toc83291140"/>
      <w:r w:rsidRPr="00D1550C">
        <w:rPr>
          <w:rFonts w:ascii="Calibri" w:hAnsi="Calibri" w:cs="Calibri"/>
          <w:sz w:val="26"/>
          <w:szCs w:val="26"/>
          <w:lang w:val="en-US"/>
        </w:rPr>
        <w:t xml:space="preserve">INTERNATIONAL INVESTMENT POSITION </w:t>
      </w:r>
      <w:r w:rsidR="00E05168" w:rsidRPr="00D1550C">
        <w:rPr>
          <w:rFonts w:ascii="Calibri" w:hAnsi="Calibri" w:cs="Calibri"/>
          <w:sz w:val="26"/>
          <w:szCs w:val="26"/>
          <w:lang w:val="en-US" w:eastAsia="ru-RU"/>
        </w:rPr>
        <w:t xml:space="preserve">FOR </w:t>
      </w:r>
      <w:r w:rsidR="00D93F6D" w:rsidRPr="00D1550C">
        <w:rPr>
          <w:rFonts w:ascii="Calibri" w:hAnsi="Calibri" w:cs="Calibri"/>
          <w:sz w:val="26"/>
          <w:szCs w:val="26"/>
          <w:lang w:val="en-US" w:eastAsia="ru-RU"/>
        </w:rPr>
        <w:t>THE FIRST HALF</w:t>
      </w:r>
      <w:r w:rsidR="00E05168" w:rsidRPr="00D1550C">
        <w:rPr>
          <w:rFonts w:ascii="Calibri" w:hAnsi="Calibri" w:cs="Calibri"/>
          <w:sz w:val="26"/>
          <w:szCs w:val="26"/>
          <w:lang w:val="en-US" w:eastAsia="ru-RU"/>
        </w:rPr>
        <w:t xml:space="preserve"> OF </w:t>
      </w:r>
      <w:r w:rsidR="00FA4977" w:rsidRPr="00D1550C">
        <w:rPr>
          <w:rFonts w:ascii="Calibri" w:hAnsi="Calibri" w:cs="Calibri"/>
          <w:sz w:val="26"/>
          <w:szCs w:val="26"/>
          <w:lang w:val="en-US"/>
        </w:rPr>
        <w:t>202</w:t>
      </w:r>
      <w:r w:rsidR="00A05D91" w:rsidRPr="00D1550C">
        <w:rPr>
          <w:rFonts w:ascii="Calibri" w:hAnsi="Calibri" w:cs="Calibri"/>
          <w:sz w:val="26"/>
          <w:szCs w:val="26"/>
          <w:lang w:val="en-US"/>
        </w:rPr>
        <w:t>1</w:t>
      </w:r>
      <w:bookmarkEnd w:id="38"/>
    </w:p>
    <w:p w:rsidR="009304D9" w:rsidRPr="00D1550C" w:rsidRDefault="009304D9" w:rsidP="009304D9">
      <w:pPr>
        <w:jc w:val="center"/>
        <w:rPr>
          <w:rFonts w:cs="Calibri"/>
          <w:i/>
          <w:iCs/>
          <w:color w:val="000000"/>
          <w:szCs w:val="28"/>
        </w:rPr>
      </w:pPr>
      <w:r w:rsidRPr="00D1550C">
        <w:rPr>
          <w:rFonts w:cs="Calibri"/>
          <w:i/>
          <w:iCs/>
          <w:color w:val="000000"/>
          <w:szCs w:val="28"/>
        </w:rPr>
        <w:t>(detailed by main components)</w:t>
      </w:r>
    </w:p>
    <w:p w:rsidR="00C37955" w:rsidRPr="00D1550C" w:rsidRDefault="00C37955" w:rsidP="00C37955">
      <w:pPr>
        <w:jc w:val="right"/>
        <w:rPr>
          <w:i/>
          <w:sz w:val="20"/>
          <w:szCs w:val="20"/>
        </w:rPr>
      </w:pPr>
    </w:p>
    <w:p w:rsidR="00C37955" w:rsidRPr="00D1550C" w:rsidRDefault="00C37955" w:rsidP="00C37955">
      <w:pPr>
        <w:jc w:val="right"/>
        <w:rPr>
          <w:i/>
          <w:iCs/>
          <w:color w:val="000000"/>
          <w:sz w:val="20"/>
          <w:szCs w:val="20"/>
        </w:rPr>
      </w:pPr>
      <w:r w:rsidRPr="00D1550C">
        <w:rPr>
          <w:i/>
          <w:sz w:val="20"/>
          <w:szCs w:val="20"/>
        </w:rPr>
        <w:t>(mln. USD)</w:t>
      </w:r>
    </w:p>
    <w:tbl>
      <w:tblPr>
        <w:tblW w:w="1491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82"/>
        <w:gridCol w:w="2207"/>
        <w:gridCol w:w="2207"/>
        <w:gridCol w:w="2207"/>
        <w:gridCol w:w="2207"/>
        <w:gridCol w:w="2207"/>
      </w:tblGrid>
      <w:tr w:rsidR="004A3D61" w:rsidRPr="00D1550C" w:rsidTr="004A3D61">
        <w:trPr>
          <w:trHeight w:val="991"/>
        </w:trPr>
        <w:tc>
          <w:tcPr>
            <w:tcW w:w="3882" w:type="dxa"/>
            <w:vAlign w:val="center"/>
          </w:tcPr>
          <w:p w:rsidR="004A3D61" w:rsidRPr="00D1550C" w:rsidRDefault="004A3D61" w:rsidP="0036776D">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07" w:type="dxa"/>
            <w:vAlign w:val="center"/>
          </w:tcPr>
          <w:p w:rsidR="004A3D61" w:rsidRPr="00D1550C" w:rsidRDefault="00FA4977"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07" w:type="dxa"/>
            <w:vAlign w:val="center"/>
          </w:tcPr>
          <w:p w:rsidR="004A3D61" w:rsidRPr="00D1550C" w:rsidRDefault="004A3D61" w:rsidP="0036776D">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07" w:type="dxa"/>
            <w:vAlign w:val="center"/>
          </w:tcPr>
          <w:p w:rsidR="004A3D61" w:rsidRPr="00D1550C" w:rsidRDefault="004A3D61" w:rsidP="0036776D">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07" w:type="dxa"/>
            <w:vAlign w:val="center"/>
          </w:tcPr>
          <w:p w:rsidR="004A3D61" w:rsidRPr="00D1550C" w:rsidRDefault="00E80BE1" w:rsidP="00D93F6D">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01.0</w:t>
            </w:r>
            <w:r w:rsidR="00D93F6D" w:rsidRPr="00D1550C">
              <w:rPr>
                <w:rFonts w:asciiTheme="minorHAnsi" w:hAnsiTheme="minorHAnsi" w:cstheme="minorHAnsi"/>
                <w:b/>
                <w:color w:val="000000"/>
              </w:rPr>
              <w:t>7</w:t>
            </w:r>
            <w:r w:rsidR="00FA4977" w:rsidRPr="00D1550C">
              <w:rPr>
                <w:rFonts w:asciiTheme="minorHAnsi" w:hAnsiTheme="minorHAnsi" w:cstheme="minorHAnsi"/>
                <w:b/>
                <w:color w:val="000000"/>
              </w:rPr>
              <w:t>.2021</w:t>
            </w:r>
          </w:p>
        </w:tc>
        <w:tc>
          <w:tcPr>
            <w:tcW w:w="2207" w:type="dxa"/>
            <w:vAlign w:val="center"/>
          </w:tcPr>
          <w:p w:rsidR="004A3D61" w:rsidRPr="00D1550C" w:rsidRDefault="004A3D61" w:rsidP="00D93F6D">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D93F6D" w:rsidRPr="00D1550C">
              <w:rPr>
                <w:rFonts w:asciiTheme="minorHAnsi" w:hAnsiTheme="minorHAnsi" w:cstheme="minorHAnsi"/>
                <w:b/>
                <w:color w:val="000000"/>
              </w:rPr>
              <w:t>the</w:t>
            </w:r>
            <w:r w:rsidR="00E80BE1" w:rsidRPr="00D1550C">
              <w:rPr>
                <w:rFonts w:asciiTheme="minorHAnsi" w:hAnsiTheme="minorHAnsi" w:cstheme="minorHAnsi"/>
                <w:b/>
                <w:color w:val="000000"/>
              </w:rPr>
              <w:t xml:space="preserve"> </w:t>
            </w:r>
            <w:r w:rsidR="00E80BE1" w:rsidRPr="00D1550C">
              <w:rPr>
                <w:rFonts w:asciiTheme="minorHAnsi" w:hAnsiTheme="minorHAnsi" w:cstheme="minorHAnsi"/>
                <w:b/>
                <w:color w:val="000000"/>
              </w:rPr>
              <w:br/>
            </w:r>
            <w:r w:rsidR="00D93F6D" w:rsidRPr="00D1550C">
              <w:rPr>
                <w:rFonts w:asciiTheme="minorHAnsi" w:hAnsiTheme="minorHAnsi" w:cstheme="minorHAnsi"/>
                <w:b/>
                <w:color w:val="000000"/>
              </w:rPr>
              <w:t>1</w:t>
            </w:r>
            <w:r w:rsidR="00D93F6D" w:rsidRPr="00D1550C">
              <w:rPr>
                <w:rFonts w:asciiTheme="minorHAnsi" w:hAnsiTheme="minorHAnsi" w:cstheme="minorHAnsi"/>
                <w:b/>
                <w:color w:val="000000"/>
                <w:sz w:val="32"/>
                <w:vertAlign w:val="superscript"/>
              </w:rPr>
              <w:t>st</w:t>
            </w:r>
            <w:r w:rsidR="00D93F6D" w:rsidRPr="00D1550C">
              <w:rPr>
                <w:rFonts w:asciiTheme="minorHAnsi" w:hAnsiTheme="minorHAnsi" w:cstheme="minorHAnsi"/>
                <w:b/>
                <w:color w:val="000000"/>
              </w:rPr>
              <w:t xml:space="preserve"> half </w:t>
            </w:r>
            <w:r w:rsidR="00E80BE1" w:rsidRPr="00D1550C">
              <w:rPr>
                <w:rFonts w:asciiTheme="minorHAnsi" w:hAnsiTheme="minorHAnsi" w:cstheme="minorHAnsi"/>
                <w:b/>
                <w:color w:val="000000"/>
              </w:rPr>
              <w:t>of 2021</w:t>
            </w:r>
          </w:p>
        </w:tc>
      </w:tr>
      <w:tr w:rsidR="00113F5F" w:rsidRPr="00D1550C" w:rsidTr="008A5960">
        <w:trPr>
          <w:trHeight w:val="511"/>
        </w:trPr>
        <w:tc>
          <w:tcPr>
            <w:tcW w:w="3882" w:type="dxa"/>
            <w:shd w:val="clear" w:color="auto" w:fill="BDD6EE" w:themeFill="accent1" w:themeFillTint="66"/>
            <w:vAlign w:val="center"/>
          </w:tcPr>
          <w:p w:rsidR="00113F5F" w:rsidRPr="00D1550C" w:rsidRDefault="00113F5F" w:rsidP="00113F5F">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20 254,1</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-3 621,5</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1 209,3</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17 841,9</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-2 412,2</w:t>
            </w:r>
          </w:p>
        </w:tc>
      </w:tr>
      <w:tr w:rsidR="00113F5F" w:rsidRPr="00D1550C" w:rsidTr="008A5960">
        <w:trPr>
          <w:trHeight w:val="511"/>
        </w:trPr>
        <w:tc>
          <w:tcPr>
            <w:tcW w:w="3882" w:type="dxa"/>
            <w:shd w:val="clear" w:color="auto" w:fill="BDD6EE" w:themeFill="accent1" w:themeFillTint="66"/>
            <w:vAlign w:val="center"/>
          </w:tcPr>
          <w:p w:rsidR="00113F5F" w:rsidRPr="00D1550C" w:rsidRDefault="00113F5F" w:rsidP="00113F5F">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65 917,6</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201,7</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27,6</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66 146,8</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229,2</w:t>
            </w:r>
          </w:p>
        </w:tc>
      </w:tr>
      <w:tr w:rsidR="00113F5F" w:rsidRPr="00D1550C" w:rsidTr="004A3D61">
        <w:trPr>
          <w:trHeight w:val="511"/>
        </w:trPr>
        <w:tc>
          <w:tcPr>
            <w:tcW w:w="3882" w:type="dxa"/>
            <w:vAlign w:val="center"/>
          </w:tcPr>
          <w:p w:rsidR="00113F5F" w:rsidRPr="00D1550C" w:rsidRDefault="00113F5F" w:rsidP="00113F5F">
            <w:pPr>
              <w:rPr>
                <w:rFonts w:asciiTheme="minorHAnsi" w:hAnsiTheme="minorHAnsi" w:cstheme="minorHAnsi"/>
                <w:color w:val="000000"/>
              </w:rPr>
            </w:pPr>
            <w:r w:rsidRPr="00D1550C">
              <w:rPr>
                <w:rFonts w:asciiTheme="minorHAnsi" w:hAnsiTheme="minorHAnsi" w:cstheme="minorHAnsi"/>
                <w:color w:val="000000"/>
              </w:rPr>
              <w:t>Direct investments</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195,1</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1,2</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0,2</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196,5</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1,5</w:t>
            </w:r>
          </w:p>
        </w:tc>
      </w:tr>
      <w:tr w:rsidR="00113F5F" w:rsidRPr="00D1550C" w:rsidTr="004A3D61">
        <w:trPr>
          <w:trHeight w:val="511"/>
        </w:trPr>
        <w:tc>
          <w:tcPr>
            <w:tcW w:w="3882" w:type="dxa"/>
            <w:vAlign w:val="center"/>
          </w:tcPr>
          <w:p w:rsidR="00113F5F" w:rsidRPr="00D1550C" w:rsidRDefault="00113F5F" w:rsidP="00113F5F">
            <w:pPr>
              <w:rPr>
                <w:rFonts w:asciiTheme="minorHAnsi" w:hAnsiTheme="minorHAnsi" w:cstheme="minorHAnsi"/>
                <w:color w:val="000000"/>
              </w:rPr>
            </w:pPr>
            <w:r w:rsidRPr="00D1550C">
              <w:rPr>
                <w:rFonts w:asciiTheme="minorHAnsi" w:hAnsiTheme="minorHAnsi" w:cstheme="minorHAnsi"/>
                <w:color w:val="000000"/>
              </w:rPr>
              <w:t>Portfolio investments</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2,5</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0,01</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2,5</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0,01</w:t>
            </w:r>
          </w:p>
        </w:tc>
      </w:tr>
      <w:tr w:rsidR="00113F5F" w:rsidRPr="00D1550C" w:rsidTr="004A3D61">
        <w:trPr>
          <w:trHeight w:val="511"/>
        </w:trPr>
        <w:tc>
          <w:tcPr>
            <w:tcW w:w="3882" w:type="dxa"/>
            <w:vAlign w:val="center"/>
          </w:tcPr>
          <w:p w:rsidR="00113F5F" w:rsidRPr="00D1550C" w:rsidRDefault="00113F5F" w:rsidP="00113F5F">
            <w:pPr>
              <w:rPr>
                <w:rFonts w:asciiTheme="minorHAnsi" w:hAnsiTheme="minorHAnsi" w:cstheme="minorHAnsi"/>
                <w:color w:val="000000"/>
              </w:rPr>
            </w:pPr>
            <w:r w:rsidRPr="00D1550C">
              <w:rPr>
                <w:rFonts w:asciiTheme="minorHAnsi" w:hAnsiTheme="minorHAnsi" w:cstheme="minorHAnsi"/>
                <w:color w:val="000000"/>
              </w:rPr>
              <w:t>Other investments</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30 816,0</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982,1</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1,3</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31 799,4</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983,5</w:t>
            </w:r>
          </w:p>
        </w:tc>
      </w:tr>
      <w:tr w:rsidR="00113F5F" w:rsidRPr="00D1550C" w:rsidTr="004A3D61">
        <w:trPr>
          <w:trHeight w:val="511"/>
        </w:trPr>
        <w:tc>
          <w:tcPr>
            <w:tcW w:w="3882" w:type="dxa"/>
            <w:vAlign w:val="center"/>
          </w:tcPr>
          <w:p w:rsidR="00113F5F" w:rsidRPr="00D1550C" w:rsidRDefault="00113F5F" w:rsidP="00113F5F">
            <w:pPr>
              <w:ind w:left="309"/>
              <w:rPr>
                <w:rFonts w:asciiTheme="minorHAnsi" w:hAnsiTheme="minorHAnsi" w:cstheme="minorHAnsi"/>
                <w:i/>
                <w:iCs/>
                <w:color w:val="000000"/>
              </w:rPr>
            </w:pPr>
            <w:r w:rsidRPr="00D1550C">
              <w:rPr>
                <w:rFonts w:asciiTheme="minorHAnsi" w:hAnsiTheme="minorHAnsi" w:cstheme="minorHAnsi"/>
                <w:i/>
                <w:iCs/>
                <w:color w:val="000000"/>
              </w:rPr>
              <w:t>of which currency and deposits</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22 978,8</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507,6</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1,5</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23 487,9</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509,1</w:t>
            </w:r>
          </w:p>
        </w:tc>
      </w:tr>
      <w:tr w:rsidR="00113F5F" w:rsidRPr="00D1550C" w:rsidTr="004A3D61">
        <w:trPr>
          <w:trHeight w:val="511"/>
        </w:trPr>
        <w:tc>
          <w:tcPr>
            <w:tcW w:w="3882" w:type="dxa"/>
            <w:vAlign w:val="center"/>
          </w:tcPr>
          <w:p w:rsidR="00113F5F" w:rsidRPr="00D1550C" w:rsidRDefault="00113F5F" w:rsidP="00113F5F">
            <w:pPr>
              <w:rPr>
                <w:rFonts w:asciiTheme="minorHAnsi" w:hAnsiTheme="minorHAnsi" w:cstheme="minorHAnsi"/>
                <w:color w:val="000000"/>
              </w:rPr>
            </w:pPr>
            <w:r w:rsidRPr="00D1550C">
              <w:rPr>
                <w:rFonts w:asciiTheme="minorHAnsi" w:hAnsiTheme="minorHAnsi" w:cstheme="minorHAnsi"/>
                <w:color w:val="000000"/>
              </w:rPr>
              <w:t>Reserve assets</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34 904,0</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-781,7</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26,0</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34 148,3</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-755,7</w:t>
            </w:r>
          </w:p>
        </w:tc>
      </w:tr>
      <w:tr w:rsidR="00113F5F" w:rsidRPr="00D1550C" w:rsidTr="008A5960">
        <w:trPr>
          <w:trHeight w:val="511"/>
        </w:trPr>
        <w:tc>
          <w:tcPr>
            <w:tcW w:w="3882" w:type="dxa"/>
            <w:shd w:val="clear" w:color="auto" w:fill="BDD6EE" w:themeFill="accent1" w:themeFillTint="66"/>
            <w:vAlign w:val="center"/>
          </w:tcPr>
          <w:p w:rsidR="00113F5F" w:rsidRPr="00D1550C" w:rsidRDefault="00113F5F" w:rsidP="00113F5F">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45 663,4</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3 823,2</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-1 181,7</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48 304,9</w:t>
            </w:r>
          </w:p>
        </w:tc>
        <w:tc>
          <w:tcPr>
            <w:tcW w:w="2207" w:type="dxa"/>
            <w:shd w:val="clear" w:color="auto" w:fill="BDD6EE" w:themeFill="accent1" w:themeFillTint="66"/>
            <w:vAlign w:val="center"/>
          </w:tcPr>
          <w:p w:rsidR="00113F5F" w:rsidRPr="00D1550C" w:rsidRDefault="00113F5F" w:rsidP="00113F5F">
            <w:pPr>
              <w:jc w:val="center"/>
              <w:rPr>
                <w:rFonts w:asciiTheme="minorHAnsi" w:hAnsiTheme="minorHAnsi" w:cstheme="minorHAnsi"/>
                <w:b/>
                <w:bCs/>
                <w:color w:val="000000"/>
              </w:rPr>
            </w:pPr>
            <w:r w:rsidRPr="00D1550C">
              <w:rPr>
                <w:rFonts w:asciiTheme="minorHAnsi" w:hAnsiTheme="minorHAnsi" w:cstheme="minorHAnsi"/>
                <w:b/>
                <w:bCs/>
                <w:color w:val="000000"/>
              </w:rPr>
              <w:t>2 641,4</w:t>
            </w:r>
          </w:p>
        </w:tc>
      </w:tr>
      <w:tr w:rsidR="00113F5F" w:rsidRPr="00D1550C" w:rsidTr="004A3D61">
        <w:trPr>
          <w:trHeight w:val="511"/>
        </w:trPr>
        <w:tc>
          <w:tcPr>
            <w:tcW w:w="3882" w:type="dxa"/>
            <w:vAlign w:val="center"/>
          </w:tcPr>
          <w:p w:rsidR="00113F5F" w:rsidRPr="00D1550C" w:rsidRDefault="00113F5F" w:rsidP="00113F5F">
            <w:pPr>
              <w:rPr>
                <w:rFonts w:asciiTheme="minorHAnsi" w:hAnsiTheme="minorHAnsi" w:cstheme="minorHAnsi"/>
                <w:color w:val="000000"/>
              </w:rPr>
            </w:pPr>
            <w:r w:rsidRPr="00D1550C">
              <w:rPr>
                <w:rFonts w:asciiTheme="minorHAnsi" w:hAnsiTheme="minorHAnsi" w:cstheme="minorHAnsi"/>
                <w:color w:val="000000"/>
              </w:rPr>
              <w:t>Direct investments</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10 261,2</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1 123,7</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-824,8</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10 560,1</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298,9</w:t>
            </w:r>
          </w:p>
        </w:tc>
      </w:tr>
      <w:tr w:rsidR="00113F5F" w:rsidRPr="00D1550C" w:rsidTr="004A3D61">
        <w:trPr>
          <w:trHeight w:val="511"/>
        </w:trPr>
        <w:tc>
          <w:tcPr>
            <w:tcW w:w="3882" w:type="dxa"/>
            <w:vAlign w:val="center"/>
          </w:tcPr>
          <w:p w:rsidR="00113F5F" w:rsidRPr="00D1550C" w:rsidRDefault="00113F5F" w:rsidP="00113F5F">
            <w:pPr>
              <w:rPr>
                <w:rFonts w:asciiTheme="minorHAnsi" w:hAnsiTheme="minorHAnsi" w:cstheme="minorHAnsi"/>
                <w:color w:val="000000"/>
              </w:rPr>
            </w:pPr>
            <w:r w:rsidRPr="00D1550C">
              <w:rPr>
                <w:rFonts w:asciiTheme="minorHAnsi" w:hAnsiTheme="minorHAnsi" w:cstheme="minorHAnsi"/>
                <w:color w:val="000000"/>
              </w:rPr>
              <w:t>Portfolio investments</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2 934,0</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384,5</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-53,9</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3 264,6</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330,6</w:t>
            </w:r>
          </w:p>
        </w:tc>
      </w:tr>
      <w:tr w:rsidR="00113F5F" w:rsidRPr="00D1550C" w:rsidTr="004A3D61">
        <w:trPr>
          <w:trHeight w:val="511"/>
        </w:trPr>
        <w:tc>
          <w:tcPr>
            <w:tcW w:w="3882" w:type="dxa"/>
            <w:vAlign w:val="center"/>
          </w:tcPr>
          <w:p w:rsidR="00113F5F" w:rsidRPr="00D1550C" w:rsidRDefault="00113F5F" w:rsidP="00113F5F">
            <w:pPr>
              <w:autoSpaceDE w:val="0"/>
              <w:autoSpaceDN w:val="0"/>
              <w:adjustRightInd w:val="0"/>
              <w:rPr>
                <w:rFonts w:asciiTheme="minorHAnsi" w:hAnsiTheme="minorHAnsi" w:cstheme="minorHAnsi"/>
                <w:color w:val="000000"/>
              </w:rPr>
            </w:pPr>
            <w:r w:rsidRPr="00D1550C">
              <w:rPr>
                <w:rFonts w:asciiTheme="minorHAnsi" w:hAnsiTheme="minorHAnsi" w:cstheme="minorHAnsi"/>
                <w:color w:val="000000"/>
              </w:rPr>
              <w:t>Financial derivatives</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16,7</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-6,2</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2,6</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13,1</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-3,6</w:t>
            </w:r>
          </w:p>
        </w:tc>
      </w:tr>
      <w:tr w:rsidR="00113F5F" w:rsidRPr="00D1550C" w:rsidTr="004A3D61">
        <w:trPr>
          <w:trHeight w:val="511"/>
        </w:trPr>
        <w:tc>
          <w:tcPr>
            <w:tcW w:w="3882" w:type="dxa"/>
            <w:vAlign w:val="center"/>
          </w:tcPr>
          <w:p w:rsidR="00113F5F" w:rsidRPr="00D1550C" w:rsidRDefault="00113F5F" w:rsidP="00113F5F">
            <w:pPr>
              <w:rPr>
                <w:rFonts w:asciiTheme="minorHAnsi" w:hAnsiTheme="minorHAnsi" w:cstheme="minorHAnsi"/>
                <w:color w:val="000000"/>
              </w:rPr>
            </w:pPr>
            <w:r w:rsidRPr="00D1550C">
              <w:rPr>
                <w:rFonts w:asciiTheme="minorHAnsi" w:hAnsiTheme="minorHAnsi" w:cstheme="minorHAnsi"/>
                <w:color w:val="000000"/>
              </w:rPr>
              <w:t>Other investments</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32 451,5</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2 321,2</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-305,6</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34 467,0</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2 015,6</w:t>
            </w:r>
          </w:p>
        </w:tc>
      </w:tr>
      <w:tr w:rsidR="00113F5F" w:rsidRPr="00D1550C" w:rsidTr="004A3D61">
        <w:trPr>
          <w:trHeight w:val="511"/>
        </w:trPr>
        <w:tc>
          <w:tcPr>
            <w:tcW w:w="3882" w:type="dxa"/>
            <w:vAlign w:val="center"/>
          </w:tcPr>
          <w:p w:rsidR="00113F5F" w:rsidRPr="00D1550C" w:rsidRDefault="00113F5F" w:rsidP="00113F5F">
            <w:pPr>
              <w:ind w:left="309"/>
              <w:rPr>
                <w:rFonts w:asciiTheme="minorHAnsi" w:hAnsiTheme="minorHAnsi" w:cstheme="minorHAnsi"/>
                <w:i/>
                <w:iCs/>
                <w:color w:val="000000"/>
              </w:rPr>
            </w:pPr>
            <w:r w:rsidRPr="00D1550C">
              <w:rPr>
                <w:rFonts w:asciiTheme="minorHAnsi" w:hAnsiTheme="minorHAnsi" w:cstheme="minorHAnsi"/>
                <w:i/>
                <w:iCs/>
                <w:color w:val="000000"/>
              </w:rPr>
              <w:t>of which loans and credits</w:t>
            </w:r>
          </w:p>
        </w:tc>
        <w:tc>
          <w:tcPr>
            <w:tcW w:w="2207" w:type="dxa"/>
            <w:vAlign w:val="center"/>
          </w:tcPr>
          <w:p w:rsidR="00113F5F" w:rsidRPr="00D1550C" w:rsidRDefault="00113F5F" w:rsidP="00113F5F">
            <w:pPr>
              <w:jc w:val="center"/>
              <w:rPr>
                <w:rFonts w:asciiTheme="minorHAnsi" w:hAnsiTheme="minorHAnsi" w:cstheme="minorHAnsi"/>
                <w:i/>
                <w:iCs/>
                <w:color w:val="000000"/>
              </w:rPr>
            </w:pPr>
            <w:r w:rsidRPr="00D1550C">
              <w:rPr>
                <w:rFonts w:asciiTheme="minorHAnsi" w:hAnsiTheme="minorHAnsi" w:cstheme="minorHAnsi"/>
                <w:i/>
                <w:iCs/>
                <w:color w:val="000000"/>
              </w:rPr>
              <w:t>29 968,2</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1 834,7</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-300,3</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31 502,5</w:t>
            </w:r>
          </w:p>
        </w:tc>
        <w:tc>
          <w:tcPr>
            <w:tcW w:w="2207" w:type="dxa"/>
            <w:vAlign w:val="center"/>
          </w:tcPr>
          <w:p w:rsidR="00113F5F" w:rsidRPr="00D1550C" w:rsidRDefault="00113F5F" w:rsidP="00113F5F">
            <w:pPr>
              <w:jc w:val="center"/>
              <w:rPr>
                <w:rFonts w:asciiTheme="minorHAnsi" w:hAnsiTheme="minorHAnsi" w:cstheme="minorHAnsi"/>
                <w:color w:val="000000"/>
              </w:rPr>
            </w:pPr>
            <w:r w:rsidRPr="00D1550C">
              <w:rPr>
                <w:rFonts w:asciiTheme="minorHAnsi" w:hAnsiTheme="minorHAnsi" w:cstheme="minorHAnsi"/>
                <w:color w:val="000000"/>
              </w:rPr>
              <w:t>1 534,3</w:t>
            </w:r>
          </w:p>
        </w:tc>
      </w:tr>
    </w:tbl>
    <w:p w:rsidR="00C37955" w:rsidRPr="00D1550C" w:rsidRDefault="00C37955" w:rsidP="00C37955">
      <w:pPr>
        <w:rPr>
          <w:sz w:val="22"/>
          <w:szCs w:val="22"/>
        </w:rPr>
      </w:pPr>
      <w:r w:rsidRPr="00D1550C">
        <w:rPr>
          <w:sz w:val="22"/>
          <w:szCs w:val="22"/>
        </w:rPr>
        <w:br w:type="page"/>
      </w:r>
    </w:p>
    <w:p w:rsidR="00264E3C" w:rsidRPr="00D1550C" w:rsidRDefault="00264E3C" w:rsidP="00264E3C">
      <w:pPr>
        <w:ind w:right="-102"/>
        <w:jc w:val="right"/>
        <w:rPr>
          <w:i/>
          <w:iCs/>
          <w:color w:val="000000"/>
          <w:sz w:val="22"/>
          <w:szCs w:val="22"/>
        </w:rPr>
      </w:pPr>
      <w:r w:rsidRPr="00D1550C">
        <w:rPr>
          <w:i/>
          <w:sz w:val="22"/>
          <w:szCs w:val="22"/>
        </w:rPr>
        <w:lastRenderedPageBreak/>
        <w:t>Addenda</w:t>
      </w:r>
      <w:r w:rsidR="00C47899" w:rsidRPr="00D1550C">
        <w:rPr>
          <w:i/>
          <w:iCs/>
          <w:color w:val="000000"/>
          <w:sz w:val="22"/>
          <w:szCs w:val="22"/>
        </w:rPr>
        <w:t xml:space="preserve"> 1</w:t>
      </w:r>
      <w:r w:rsidR="00662B53" w:rsidRPr="00D1550C">
        <w:rPr>
          <w:i/>
          <w:iCs/>
          <w:color w:val="000000"/>
          <w:sz w:val="22"/>
          <w:szCs w:val="22"/>
        </w:rPr>
        <w:t>3</w:t>
      </w:r>
      <w:r w:rsidR="00C47899" w:rsidRPr="00D1550C">
        <w:rPr>
          <w:i/>
          <w:iCs/>
          <w:color w:val="000000"/>
          <w:sz w:val="22"/>
          <w:szCs w:val="22"/>
        </w:rPr>
        <w:t>.2</w:t>
      </w:r>
    </w:p>
    <w:p w:rsidR="009304D9" w:rsidRPr="00D1550C" w:rsidRDefault="009304D9" w:rsidP="009304D9">
      <w:pPr>
        <w:pStyle w:val="1"/>
        <w:ind w:left="0"/>
        <w:jc w:val="center"/>
        <w:rPr>
          <w:rFonts w:ascii="Calibri" w:hAnsi="Calibri"/>
          <w:sz w:val="26"/>
          <w:szCs w:val="26"/>
          <w:lang w:val="en-US"/>
        </w:rPr>
      </w:pPr>
      <w:bookmarkStart w:id="39" w:name="_Toc83291141"/>
      <w:r w:rsidRPr="00D1550C">
        <w:rPr>
          <w:rFonts w:ascii="Calibri" w:hAnsi="Calibri" w:cs="Calibri"/>
          <w:sz w:val="26"/>
          <w:szCs w:val="26"/>
          <w:lang w:val="en-US"/>
        </w:rPr>
        <w:t>INTERNATIONAL INVESTMENT POSITION OF GENERAL GOVERNMENT</w:t>
      </w:r>
      <w:r w:rsidR="00E824BA" w:rsidRPr="00D1550C">
        <w:rPr>
          <w:rFonts w:ascii="Calibri" w:hAnsi="Calibri" w:cs="Calibri"/>
          <w:sz w:val="26"/>
          <w:szCs w:val="26"/>
          <w:lang w:val="en-US"/>
        </w:rPr>
        <w:t xml:space="preserve"> SECTOR</w:t>
      </w:r>
      <w:r w:rsidRPr="00D1550C">
        <w:rPr>
          <w:rFonts w:ascii="Calibri" w:hAnsi="Calibri" w:cs="Calibri"/>
          <w:sz w:val="26"/>
          <w:szCs w:val="26"/>
          <w:lang w:val="en-US"/>
        </w:rPr>
        <w:t xml:space="preserve"> </w:t>
      </w:r>
      <w:r w:rsidR="006237CD" w:rsidRPr="00D1550C">
        <w:rPr>
          <w:rFonts w:ascii="Calibri" w:hAnsi="Calibri" w:cs="Calibri"/>
          <w:sz w:val="26"/>
          <w:szCs w:val="26"/>
          <w:lang w:val="en-US"/>
        </w:rPr>
        <w:t>FOR</w:t>
      </w:r>
      <w:r w:rsidRPr="00D1550C">
        <w:rPr>
          <w:rFonts w:ascii="Calibri" w:hAnsi="Calibri" w:cs="Calibri"/>
          <w:sz w:val="26"/>
          <w:szCs w:val="26"/>
          <w:lang w:val="en-US"/>
        </w:rPr>
        <w:t xml:space="preserve"> </w:t>
      </w:r>
      <w:r w:rsidR="00247175" w:rsidRPr="00D1550C">
        <w:rPr>
          <w:rFonts w:ascii="Calibri" w:hAnsi="Calibri" w:cs="Calibri"/>
          <w:sz w:val="26"/>
          <w:szCs w:val="26"/>
          <w:lang w:val="en-US"/>
        </w:rPr>
        <w:t>THE FIRST HALF</w:t>
      </w:r>
      <w:r w:rsidR="00E05168" w:rsidRPr="00D1550C">
        <w:rPr>
          <w:rFonts w:ascii="Calibri" w:hAnsi="Calibri" w:cs="Calibri"/>
          <w:sz w:val="26"/>
          <w:szCs w:val="26"/>
          <w:lang w:val="en-US"/>
        </w:rPr>
        <w:t xml:space="preserve"> OF </w:t>
      </w:r>
      <w:r w:rsidR="00C47899" w:rsidRPr="00D1550C">
        <w:rPr>
          <w:rFonts w:ascii="Calibri" w:hAnsi="Calibri" w:cs="Calibri"/>
          <w:sz w:val="26"/>
          <w:szCs w:val="26"/>
          <w:lang w:val="en-US"/>
        </w:rPr>
        <w:t>202</w:t>
      </w:r>
      <w:r w:rsidR="00A05D91" w:rsidRPr="00D1550C">
        <w:rPr>
          <w:rFonts w:ascii="Calibri" w:hAnsi="Calibri" w:cs="Calibri"/>
          <w:sz w:val="26"/>
          <w:szCs w:val="26"/>
          <w:lang w:val="en-US"/>
        </w:rPr>
        <w:t>1</w:t>
      </w:r>
      <w:bookmarkEnd w:id="39"/>
    </w:p>
    <w:p w:rsidR="009304D9" w:rsidRPr="00D1550C" w:rsidRDefault="009304D9" w:rsidP="009304D9">
      <w:pPr>
        <w:jc w:val="center"/>
        <w:rPr>
          <w:i/>
          <w:iCs/>
          <w:color w:val="000000"/>
        </w:rPr>
      </w:pPr>
      <w:r w:rsidRPr="00D1550C">
        <w:rPr>
          <w:rFonts w:cs="Calibri"/>
          <w:i/>
          <w:iCs/>
          <w:color w:val="000000"/>
        </w:rPr>
        <w:t>(detailed by main components)</w:t>
      </w:r>
      <w:r w:rsidRPr="00D1550C">
        <w:rPr>
          <w:i/>
          <w:iCs/>
          <w:color w:val="000000"/>
        </w:rPr>
        <w:t xml:space="preserve"> </w:t>
      </w:r>
    </w:p>
    <w:p w:rsidR="00264E3C" w:rsidRPr="00D1550C" w:rsidRDefault="00264E3C" w:rsidP="00264E3C">
      <w:pPr>
        <w:jc w:val="right"/>
        <w:rPr>
          <w:i/>
          <w:sz w:val="20"/>
          <w:szCs w:val="20"/>
        </w:rPr>
      </w:pPr>
    </w:p>
    <w:p w:rsidR="00264E3C" w:rsidRPr="00D1550C" w:rsidRDefault="00264E3C" w:rsidP="00264E3C">
      <w:pPr>
        <w:jc w:val="right"/>
        <w:rPr>
          <w:i/>
          <w:iCs/>
          <w:color w:val="000000"/>
        </w:rPr>
      </w:pPr>
      <w:r w:rsidRPr="00D1550C">
        <w:rPr>
          <w:i/>
          <w:sz w:val="20"/>
          <w:szCs w:val="20"/>
        </w:rPr>
        <w:t>(mln. USD)</w:t>
      </w:r>
    </w:p>
    <w:tbl>
      <w:tblPr>
        <w:tblW w:w="14959"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94"/>
        <w:gridCol w:w="2213"/>
        <w:gridCol w:w="2213"/>
        <w:gridCol w:w="2213"/>
        <w:gridCol w:w="2213"/>
        <w:gridCol w:w="2213"/>
      </w:tblGrid>
      <w:tr w:rsidR="00F0184E" w:rsidRPr="00D1550C" w:rsidTr="00F0184E">
        <w:trPr>
          <w:trHeight w:val="990"/>
        </w:trPr>
        <w:tc>
          <w:tcPr>
            <w:tcW w:w="3894" w:type="dxa"/>
            <w:vAlign w:val="center"/>
          </w:tcPr>
          <w:p w:rsidR="00F0184E" w:rsidRPr="00D1550C" w:rsidRDefault="00F0184E" w:rsidP="00F0184E">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13" w:type="dxa"/>
            <w:vAlign w:val="center"/>
          </w:tcPr>
          <w:p w:rsidR="00F0184E" w:rsidRPr="00D1550C" w:rsidRDefault="00662B53"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13" w:type="dxa"/>
            <w:vAlign w:val="center"/>
          </w:tcPr>
          <w:p w:rsidR="00F0184E" w:rsidRPr="00D1550C" w:rsidRDefault="00F0184E" w:rsidP="00F0184E">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13" w:type="dxa"/>
            <w:vAlign w:val="center"/>
          </w:tcPr>
          <w:p w:rsidR="00F0184E" w:rsidRPr="00D1550C" w:rsidRDefault="00F0184E" w:rsidP="00F0184E">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13" w:type="dxa"/>
            <w:vAlign w:val="center"/>
          </w:tcPr>
          <w:p w:rsidR="00F0184E" w:rsidRPr="00D1550C" w:rsidRDefault="00E80BE1" w:rsidP="00247175">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01.0</w:t>
            </w:r>
            <w:r w:rsidR="00247175" w:rsidRPr="00D1550C">
              <w:rPr>
                <w:rFonts w:asciiTheme="minorHAnsi" w:hAnsiTheme="minorHAnsi" w:cstheme="minorHAnsi"/>
                <w:b/>
                <w:color w:val="000000"/>
              </w:rPr>
              <w:t>7</w:t>
            </w:r>
            <w:r w:rsidR="00662B53" w:rsidRPr="00D1550C">
              <w:rPr>
                <w:rFonts w:asciiTheme="minorHAnsi" w:hAnsiTheme="minorHAnsi" w:cstheme="minorHAnsi"/>
                <w:b/>
                <w:color w:val="000000"/>
              </w:rPr>
              <w:t>.2021</w:t>
            </w:r>
          </w:p>
        </w:tc>
        <w:tc>
          <w:tcPr>
            <w:tcW w:w="2213" w:type="dxa"/>
            <w:vAlign w:val="center"/>
          </w:tcPr>
          <w:p w:rsidR="00F0184E" w:rsidRPr="00D1550C" w:rsidRDefault="00E80BE1" w:rsidP="00247175">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247175" w:rsidRPr="00D1550C">
              <w:rPr>
                <w:rFonts w:asciiTheme="minorHAnsi" w:hAnsiTheme="minorHAnsi" w:cstheme="minorHAnsi"/>
                <w:b/>
                <w:color w:val="000000"/>
              </w:rPr>
              <w:t>the</w:t>
            </w:r>
            <w:r w:rsidRPr="00D1550C">
              <w:rPr>
                <w:rFonts w:asciiTheme="minorHAnsi" w:hAnsiTheme="minorHAnsi" w:cstheme="minorHAnsi"/>
                <w:b/>
                <w:color w:val="000000"/>
              </w:rPr>
              <w:t xml:space="preserve"> </w:t>
            </w:r>
            <w:r w:rsidRPr="00D1550C">
              <w:rPr>
                <w:rFonts w:asciiTheme="minorHAnsi" w:hAnsiTheme="minorHAnsi" w:cstheme="minorHAnsi"/>
                <w:b/>
                <w:color w:val="000000"/>
              </w:rPr>
              <w:br/>
            </w:r>
            <w:r w:rsidR="00247175" w:rsidRPr="00D1550C">
              <w:rPr>
                <w:rFonts w:asciiTheme="minorHAnsi" w:hAnsiTheme="minorHAnsi" w:cstheme="minorHAnsi"/>
                <w:b/>
                <w:color w:val="000000"/>
              </w:rPr>
              <w:t>1</w:t>
            </w:r>
            <w:r w:rsidR="00247175" w:rsidRPr="00D1550C">
              <w:rPr>
                <w:rFonts w:asciiTheme="minorHAnsi" w:hAnsiTheme="minorHAnsi" w:cstheme="minorHAnsi"/>
                <w:b/>
                <w:color w:val="000000"/>
                <w:sz w:val="32"/>
                <w:vertAlign w:val="superscript"/>
              </w:rPr>
              <w:t>st</w:t>
            </w:r>
            <w:r w:rsidR="00247175" w:rsidRPr="00D1550C">
              <w:rPr>
                <w:rFonts w:asciiTheme="minorHAnsi" w:hAnsiTheme="minorHAnsi" w:cstheme="minorHAnsi"/>
                <w:b/>
                <w:color w:val="000000"/>
              </w:rPr>
              <w:t xml:space="preserve"> half </w:t>
            </w:r>
            <w:r w:rsidRPr="00D1550C">
              <w:rPr>
                <w:rFonts w:asciiTheme="minorHAnsi" w:hAnsiTheme="minorHAnsi" w:cstheme="minorHAnsi"/>
                <w:b/>
                <w:color w:val="000000"/>
              </w:rPr>
              <w:t>of 2021</w:t>
            </w:r>
          </w:p>
        </w:tc>
      </w:tr>
      <w:tr w:rsidR="00247175" w:rsidRPr="00D1550C" w:rsidTr="008A5960">
        <w:trPr>
          <w:trHeight w:val="511"/>
        </w:trPr>
        <w:tc>
          <w:tcPr>
            <w:tcW w:w="3894" w:type="dxa"/>
            <w:shd w:val="clear" w:color="auto" w:fill="BDD6EE" w:themeFill="accent1" w:themeFillTint="66"/>
            <w:vAlign w:val="center"/>
          </w:tcPr>
          <w:p w:rsidR="00247175" w:rsidRPr="00D1550C" w:rsidRDefault="00247175" w:rsidP="00247175">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18 388,0</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-1 258,8</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260,3</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17 389,5</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-998,5</w:t>
            </w:r>
          </w:p>
        </w:tc>
      </w:tr>
      <w:tr w:rsidR="00247175" w:rsidRPr="00D1550C" w:rsidTr="008A5960">
        <w:trPr>
          <w:trHeight w:val="511"/>
        </w:trPr>
        <w:tc>
          <w:tcPr>
            <w:tcW w:w="3894" w:type="dxa"/>
            <w:shd w:val="clear" w:color="auto" w:fill="BDD6EE" w:themeFill="accent1" w:themeFillTint="66"/>
            <w:vAlign w:val="center"/>
          </w:tcPr>
          <w:p w:rsidR="00247175" w:rsidRPr="00D1550C" w:rsidRDefault="00247175" w:rsidP="00247175">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34 907,7</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-791,3</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36,0</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34 152,5</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-755,3</w:t>
            </w:r>
          </w:p>
        </w:tc>
      </w:tr>
      <w:tr w:rsidR="00247175" w:rsidRPr="00D1550C" w:rsidTr="00F0184E">
        <w:trPr>
          <w:trHeight w:val="511"/>
        </w:trPr>
        <w:tc>
          <w:tcPr>
            <w:tcW w:w="3894" w:type="dxa"/>
            <w:vAlign w:val="center"/>
          </w:tcPr>
          <w:p w:rsidR="00247175" w:rsidRPr="00D1550C" w:rsidRDefault="00247175" w:rsidP="00247175">
            <w:pPr>
              <w:rPr>
                <w:rFonts w:cs="Calibri"/>
                <w:color w:val="000000"/>
              </w:rPr>
            </w:pPr>
            <w:r w:rsidRPr="00D1550C">
              <w:rPr>
                <w:rFonts w:cs="Calibri"/>
                <w:color w:val="000000"/>
              </w:rPr>
              <w:t>Monetary gold</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20 216,7</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14,1</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20 230,8</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14,1</w:t>
            </w:r>
          </w:p>
        </w:tc>
      </w:tr>
      <w:tr w:rsidR="00247175" w:rsidRPr="00D1550C" w:rsidTr="00F0184E">
        <w:trPr>
          <w:trHeight w:val="511"/>
        </w:trPr>
        <w:tc>
          <w:tcPr>
            <w:tcW w:w="3894" w:type="dxa"/>
            <w:vAlign w:val="center"/>
          </w:tcPr>
          <w:p w:rsidR="00247175" w:rsidRPr="00D1550C" w:rsidRDefault="00247175" w:rsidP="00247175">
            <w:pPr>
              <w:rPr>
                <w:rFonts w:cs="Calibri"/>
                <w:color w:val="000000"/>
              </w:rPr>
            </w:pPr>
            <w:r w:rsidRPr="00D1550C">
              <w:rPr>
                <w:rFonts w:cs="Calibri"/>
                <w:color w:val="000000"/>
              </w:rPr>
              <w:t>Special drawing rights</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383,3</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-3,7</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379,6</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-3,7</w:t>
            </w:r>
          </w:p>
        </w:tc>
      </w:tr>
      <w:tr w:rsidR="00247175" w:rsidRPr="00D1550C" w:rsidTr="00F0184E">
        <w:trPr>
          <w:trHeight w:val="511"/>
        </w:trPr>
        <w:tc>
          <w:tcPr>
            <w:tcW w:w="3894" w:type="dxa"/>
            <w:vAlign w:val="center"/>
          </w:tcPr>
          <w:p w:rsidR="00247175" w:rsidRPr="00D1550C" w:rsidRDefault="00247175" w:rsidP="00247175">
            <w:pPr>
              <w:rPr>
                <w:rFonts w:cs="Calibri"/>
                <w:color w:val="000000"/>
              </w:rPr>
            </w:pPr>
            <w:r w:rsidRPr="00D1550C">
              <w:rPr>
                <w:rFonts w:cs="Calibri"/>
                <w:color w:val="000000"/>
              </w:rPr>
              <w:t>Reserve position in IMF</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0,01</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0,01</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r>
      <w:tr w:rsidR="00247175" w:rsidRPr="00D1550C" w:rsidTr="00F0184E">
        <w:trPr>
          <w:trHeight w:val="511"/>
        </w:trPr>
        <w:tc>
          <w:tcPr>
            <w:tcW w:w="3894" w:type="dxa"/>
            <w:vAlign w:val="center"/>
          </w:tcPr>
          <w:p w:rsidR="00247175" w:rsidRPr="00D1550C" w:rsidRDefault="00247175" w:rsidP="00247175">
            <w:pPr>
              <w:rPr>
                <w:rFonts w:cs="Calibri"/>
                <w:color w:val="000000"/>
              </w:rPr>
            </w:pPr>
            <w:r w:rsidRPr="00D1550C">
              <w:rPr>
                <w:rFonts w:cs="Calibri"/>
                <w:color w:val="000000"/>
              </w:rPr>
              <w:t>Currency and deposits</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14 303,9</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-781,7</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15,6</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13 537,8</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-766,1</w:t>
            </w:r>
          </w:p>
        </w:tc>
      </w:tr>
      <w:tr w:rsidR="00247175" w:rsidRPr="00D1550C" w:rsidTr="00F0184E">
        <w:trPr>
          <w:trHeight w:val="511"/>
        </w:trPr>
        <w:tc>
          <w:tcPr>
            <w:tcW w:w="3894" w:type="dxa"/>
            <w:vAlign w:val="center"/>
          </w:tcPr>
          <w:p w:rsidR="00247175" w:rsidRPr="00D1550C" w:rsidRDefault="00247175" w:rsidP="00247175">
            <w:pPr>
              <w:rPr>
                <w:rFonts w:cs="Calibri"/>
                <w:color w:val="000000"/>
              </w:rPr>
            </w:pPr>
            <w:r w:rsidRPr="00D1550C">
              <w:rPr>
                <w:rFonts w:cs="Calibri"/>
                <w:color w:val="000000"/>
              </w:rPr>
              <w:t>Other assets</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3,7</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-9,5</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10,0</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4,2</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0,4</w:t>
            </w:r>
          </w:p>
        </w:tc>
      </w:tr>
      <w:tr w:rsidR="00247175" w:rsidRPr="00D1550C" w:rsidTr="008A5960">
        <w:trPr>
          <w:trHeight w:val="511"/>
        </w:trPr>
        <w:tc>
          <w:tcPr>
            <w:tcW w:w="3894" w:type="dxa"/>
            <w:shd w:val="clear" w:color="auto" w:fill="BDD6EE" w:themeFill="accent1" w:themeFillTint="66"/>
            <w:vAlign w:val="center"/>
          </w:tcPr>
          <w:p w:rsidR="00247175" w:rsidRPr="00D1550C" w:rsidRDefault="00247175" w:rsidP="00247175">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16 519,7</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467,6</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-224,3</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16 763,0</w:t>
            </w:r>
          </w:p>
        </w:tc>
        <w:tc>
          <w:tcPr>
            <w:tcW w:w="2213"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243,2</w:t>
            </w:r>
          </w:p>
        </w:tc>
      </w:tr>
      <w:tr w:rsidR="00247175" w:rsidRPr="00D1550C" w:rsidTr="00F0184E">
        <w:trPr>
          <w:trHeight w:val="511"/>
        </w:trPr>
        <w:tc>
          <w:tcPr>
            <w:tcW w:w="3894" w:type="dxa"/>
            <w:vAlign w:val="center"/>
          </w:tcPr>
          <w:p w:rsidR="00247175" w:rsidRPr="00D1550C" w:rsidRDefault="00247175" w:rsidP="00247175">
            <w:pPr>
              <w:autoSpaceDE w:val="0"/>
              <w:autoSpaceDN w:val="0"/>
              <w:adjustRightInd w:val="0"/>
              <w:rPr>
                <w:rFonts w:cs="Calibri"/>
                <w:color w:val="000000"/>
              </w:rPr>
            </w:pPr>
            <w:r w:rsidRPr="00D1550C">
              <w:rPr>
                <w:rFonts w:cs="Calibri"/>
                <w:color w:val="000000"/>
              </w:rPr>
              <w:t>Portfolio investments</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1 929,4</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-68,2</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1 861,2</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-68,2</w:t>
            </w:r>
          </w:p>
        </w:tc>
      </w:tr>
      <w:tr w:rsidR="00247175" w:rsidRPr="00D1550C" w:rsidTr="00F0184E">
        <w:trPr>
          <w:trHeight w:val="511"/>
        </w:trPr>
        <w:tc>
          <w:tcPr>
            <w:tcW w:w="3894" w:type="dxa"/>
            <w:vAlign w:val="center"/>
          </w:tcPr>
          <w:p w:rsidR="00247175" w:rsidRPr="00D1550C" w:rsidRDefault="00247175" w:rsidP="00247175">
            <w:pPr>
              <w:rPr>
                <w:rFonts w:cs="Calibri"/>
                <w:color w:val="000000"/>
              </w:rPr>
            </w:pPr>
            <w:r w:rsidRPr="00D1550C">
              <w:rPr>
                <w:rFonts w:cs="Calibri"/>
                <w:color w:val="000000"/>
              </w:rPr>
              <w:t>Loans and credits</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14 211,8</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467,6</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-152,5</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14 526,9</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315,1</w:t>
            </w:r>
          </w:p>
        </w:tc>
      </w:tr>
      <w:tr w:rsidR="00247175" w:rsidRPr="00D1550C" w:rsidTr="00F0184E">
        <w:trPr>
          <w:trHeight w:val="511"/>
        </w:trPr>
        <w:tc>
          <w:tcPr>
            <w:tcW w:w="3894" w:type="dxa"/>
            <w:vAlign w:val="center"/>
          </w:tcPr>
          <w:p w:rsidR="00247175" w:rsidRPr="00D1550C" w:rsidRDefault="00247175" w:rsidP="00247175">
            <w:pPr>
              <w:rPr>
                <w:rFonts w:cs="Calibri"/>
                <w:color w:val="000000"/>
              </w:rPr>
            </w:pPr>
            <w:r w:rsidRPr="00D1550C">
              <w:rPr>
                <w:rFonts w:cs="Calibri"/>
                <w:color w:val="000000"/>
              </w:rPr>
              <w:t>Special drawing rights</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378,6</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-3,6</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374,9</w:t>
            </w:r>
          </w:p>
        </w:tc>
        <w:tc>
          <w:tcPr>
            <w:tcW w:w="2213"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-3,7</w:t>
            </w:r>
          </w:p>
        </w:tc>
      </w:tr>
    </w:tbl>
    <w:p w:rsidR="00264E3C" w:rsidRPr="00D1550C" w:rsidRDefault="00264E3C" w:rsidP="00264E3C">
      <w:pPr>
        <w:rPr>
          <w:sz w:val="22"/>
          <w:szCs w:val="22"/>
        </w:rPr>
      </w:pPr>
      <w:r w:rsidRPr="00D1550C">
        <w:rPr>
          <w:sz w:val="22"/>
          <w:szCs w:val="22"/>
        </w:rPr>
        <w:br w:type="page"/>
      </w:r>
    </w:p>
    <w:p w:rsidR="009304D9" w:rsidRPr="00D1550C" w:rsidRDefault="009304D9" w:rsidP="009304D9">
      <w:pPr>
        <w:jc w:val="right"/>
        <w:rPr>
          <w:i/>
          <w:iCs/>
          <w:color w:val="000000"/>
          <w:sz w:val="22"/>
          <w:szCs w:val="22"/>
        </w:rPr>
      </w:pPr>
      <w:r w:rsidRPr="00D1550C">
        <w:rPr>
          <w:i/>
          <w:sz w:val="22"/>
          <w:szCs w:val="22"/>
        </w:rPr>
        <w:lastRenderedPageBreak/>
        <w:t>Addenda</w:t>
      </w:r>
      <w:r w:rsidRPr="00D1550C">
        <w:rPr>
          <w:i/>
          <w:iCs/>
          <w:color w:val="000000"/>
          <w:sz w:val="22"/>
          <w:szCs w:val="22"/>
        </w:rPr>
        <w:t xml:space="preserve"> 1</w:t>
      </w:r>
      <w:r w:rsidR="00662B53" w:rsidRPr="00D1550C">
        <w:rPr>
          <w:i/>
          <w:iCs/>
          <w:color w:val="000000"/>
          <w:sz w:val="22"/>
          <w:szCs w:val="22"/>
        </w:rPr>
        <w:t>3</w:t>
      </w:r>
      <w:r w:rsidRPr="00D1550C">
        <w:rPr>
          <w:i/>
          <w:iCs/>
          <w:color w:val="000000"/>
          <w:sz w:val="22"/>
          <w:szCs w:val="22"/>
        </w:rPr>
        <w:t>.3</w:t>
      </w:r>
    </w:p>
    <w:p w:rsidR="009304D9" w:rsidRPr="00D1550C" w:rsidRDefault="009304D9" w:rsidP="009304D9">
      <w:pPr>
        <w:pStyle w:val="1"/>
        <w:ind w:left="0"/>
        <w:jc w:val="center"/>
        <w:rPr>
          <w:rFonts w:ascii="Calibri" w:hAnsi="Calibri"/>
          <w:sz w:val="26"/>
          <w:szCs w:val="26"/>
          <w:lang w:val="en-US"/>
        </w:rPr>
      </w:pPr>
      <w:bookmarkStart w:id="40" w:name="_Toc83291142"/>
      <w:r w:rsidRPr="00D1550C">
        <w:rPr>
          <w:rFonts w:ascii="Calibri" w:hAnsi="Calibri" w:cs="Calibri"/>
          <w:sz w:val="26"/>
          <w:szCs w:val="26"/>
          <w:lang w:val="en-US"/>
        </w:rPr>
        <w:t xml:space="preserve">INTERNATIONAL INVESTMENT POSITION OF BANKING SECTOR </w:t>
      </w:r>
      <w:r w:rsidR="00752542" w:rsidRPr="00D1550C">
        <w:rPr>
          <w:rFonts w:ascii="Calibri" w:hAnsi="Calibri" w:cs="Calibri"/>
          <w:sz w:val="26"/>
          <w:szCs w:val="26"/>
          <w:lang w:val="en-US"/>
        </w:rPr>
        <w:t>FOR</w:t>
      </w:r>
      <w:r w:rsidRPr="00D1550C">
        <w:rPr>
          <w:rFonts w:ascii="Calibri" w:hAnsi="Calibri" w:cs="Calibri"/>
          <w:sz w:val="26"/>
          <w:szCs w:val="26"/>
          <w:lang w:val="en-US"/>
        </w:rPr>
        <w:t xml:space="preserve"> </w:t>
      </w:r>
      <w:r w:rsidR="00247175" w:rsidRPr="00D1550C">
        <w:rPr>
          <w:rFonts w:ascii="Calibri" w:hAnsi="Calibri" w:cs="Calibri"/>
          <w:sz w:val="26"/>
          <w:szCs w:val="26"/>
          <w:lang w:val="en-US"/>
        </w:rPr>
        <w:t>THE FIRST HALF</w:t>
      </w:r>
      <w:r w:rsidR="00E05168" w:rsidRPr="00D1550C">
        <w:rPr>
          <w:rFonts w:ascii="Calibri" w:hAnsi="Calibri" w:cs="Calibri"/>
          <w:sz w:val="26"/>
          <w:szCs w:val="26"/>
          <w:lang w:val="en-US"/>
        </w:rPr>
        <w:t xml:space="preserve"> OF </w:t>
      </w:r>
      <w:r w:rsidR="00280FCA" w:rsidRPr="00D1550C">
        <w:rPr>
          <w:rFonts w:ascii="Calibri" w:hAnsi="Calibri" w:cs="Calibri"/>
          <w:sz w:val="26"/>
          <w:szCs w:val="26"/>
          <w:lang w:val="en-US"/>
        </w:rPr>
        <w:t>202</w:t>
      </w:r>
      <w:r w:rsidR="00A05D91" w:rsidRPr="00D1550C">
        <w:rPr>
          <w:rFonts w:ascii="Calibri" w:hAnsi="Calibri" w:cs="Calibri"/>
          <w:sz w:val="26"/>
          <w:szCs w:val="26"/>
          <w:lang w:val="en-US"/>
        </w:rPr>
        <w:t>1</w:t>
      </w:r>
      <w:bookmarkEnd w:id="40"/>
    </w:p>
    <w:p w:rsidR="009304D9" w:rsidRPr="00D1550C" w:rsidRDefault="009304D9" w:rsidP="009304D9">
      <w:pPr>
        <w:jc w:val="center"/>
        <w:rPr>
          <w:rFonts w:cs="Calibri"/>
          <w:i/>
          <w:iCs/>
          <w:color w:val="000000"/>
        </w:rPr>
      </w:pPr>
      <w:r w:rsidRPr="00D1550C">
        <w:rPr>
          <w:rFonts w:cs="Calibri"/>
          <w:i/>
          <w:iCs/>
          <w:color w:val="000000"/>
        </w:rPr>
        <w:t>(detailed by main components)</w:t>
      </w:r>
    </w:p>
    <w:p w:rsidR="00AB0C31" w:rsidRPr="00D1550C" w:rsidRDefault="00AB0C31" w:rsidP="009304D9">
      <w:pPr>
        <w:jc w:val="center"/>
        <w:rPr>
          <w:i/>
          <w:color w:val="000000"/>
        </w:rPr>
      </w:pPr>
    </w:p>
    <w:p w:rsidR="00AB0C31" w:rsidRPr="00D1550C" w:rsidRDefault="00AB0C31" w:rsidP="00AB0C31">
      <w:pPr>
        <w:jc w:val="right"/>
        <w:rPr>
          <w:i/>
          <w:iCs/>
          <w:color w:val="000000"/>
        </w:rPr>
      </w:pPr>
      <w:r w:rsidRPr="00D1550C">
        <w:rPr>
          <w:i/>
          <w:sz w:val="20"/>
          <w:szCs w:val="20"/>
        </w:rPr>
        <w:t>(mln. USD)</w:t>
      </w:r>
    </w:p>
    <w:tbl>
      <w:tblPr>
        <w:tblW w:w="14931"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86"/>
        <w:gridCol w:w="2209"/>
        <w:gridCol w:w="2209"/>
        <w:gridCol w:w="2209"/>
        <w:gridCol w:w="2209"/>
        <w:gridCol w:w="2209"/>
      </w:tblGrid>
      <w:tr w:rsidR="00662B53" w:rsidRPr="00D1550C" w:rsidTr="00F0184E">
        <w:trPr>
          <w:trHeight w:val="977"/>
        </w:trPr>
        <w:tc>
          <w:tcPr>
            <w:tcW w:w="3886" w:type="dxa"/>
            <w:vAlign w:val="center"/>
          </w:tcPr>
          <w:p w:rsidR="00662B53" w:rsidRPr="00D1550C" w:rsidRDefault="00662B53" w:rsidP="00662B53">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09" w:type="dxa"/>
            <w:vAlign w:val="center"/>
          </w:tcPr>
          <w:p w:rsidR="00662B53" w:rsidRPr="00D1550C" w:rsidRDefault="00662B53"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09"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09"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09" w:type="dxa"/>
            <w:vAlign w:val="center"/>
          </w:tcPr>
          <w:p w:rsidR="00662B53" w:rsidRPr="00D1550C" w:rsidRDefault="00E80BE1" w:rsidP="00247175">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01.0</w:t>
            </w:r>
            <w:r w:rsidR="00247175" w:rsidRPr="00D1550C">
              <w:rPr>
                <w:rFonts w:asciiTheme="minorHAnsi" w:hAnsiTheme="minorHAnsi" w:cstheme="minorHAnsi"/>
                <w:b/>
                <w:color w:val="000000"/>
              </w:rPr>
              <w:t>7</w:t>
            </w:r>
            <w:r w:rsidR="00662B53" w:rsidRPr="00D1550C">
              <w:rPr>
                <w:rFonts w:asciiTheme="minorHAnsi" w:hAnsiTheme="minorHAnsi" w:cstheme="minorHAnsi"/>
                <w:b/>
                <w:color w:val="000000"/>
              </w:rPr>
              <w:t>.2021</w:t>
            </w:r>
          </w:p>
        </w:tc>
        <w:tc>
          <w:tcPr>
            <w:tcW w:w="2209" w:type="dxa"/>
            <w:vAlign w:val="center"/>
          </w:tcPr>
          <w:p w:rsidR="00662B53" w:rsidRPr="00D1550C" w:rsidRDefault="00E80BE1" w:rsidP="00247175">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247175" w:rsidRPr="00D1550C">
              <w:rPr>
                <w:rFonts w:asciiTheme="minorHAnsi" w:hAnsiTheme="minorHAnsi" w:cstheme="minorHAnsi"/>
                <w:b/>
                <w:color w:val="000000"/>
              </w:rPr>
              <w:t>the</w:t>
            </w:r>
            <w:r w:rsidRPr="00D1550C">
              <w:rPr>
                <w:rFonts w:asciiTheme="minorHAnsi" w:hAnsiTheme="minorHAnsi" w:cstheme="minorHAnsi"/>
                <w:b/>
                <w:color w:val="000000"/>
              </w:rPr>
              <w:t xml:space="preserve"> </w:t>
            </w:r>
            <w:r w:rsidRPr="00D1550C">
              <w:rPr>
                <w:rFonts w:asciiTheme="minorHAnsi" w:hAnsiTheme="minorHAnsi" w:cstheme="minorHAnsi"/>
                <w:b/>
                <w:color w:val="000000"/>
              </w:rPr>
              <w:br/>
            </w:r>
            <w:r w:rsidR="00247175" w:rsidRPr="00D1550C">
              <w:rPr>
                <w:rFonts w:asciiTheme="minorHAnsi" w:hAnsiTheme="minorHAnsi" w:cstheme="minorHAnsi"/>
                <w:b/>
                <w:color w:val="000000"/>
              </w:rPr>
              <w:t>1</w:t>
            </w:r>
            <w:r w:rsidR="00247175" w:rsidRPr="00D1550C">
              <w:rPr>
                <w:rFonts w:asciiTheme="minorHAnsi" w:hAnsiTheme="minorHAnsi" w:cstheme="minorHAnsi"/>
                <w:b/>
                <w:color w:val="000000"/>
                <w:sz w:val="32"/>
                <w:vertAlign w:val="superscript"/>
              </w:rPr>
              <w:t>st</w:t>
            </w:r>
            <w:r w:rsidR="00247175" w:rsidRPr="00D1550C">
              <w:rPr>
                <w:rFonts w:asciiTheme="minorHAnsi" w:hAnsiTheme="minorHAnsi" w:cstheme="minorHAnsi"/>
                <w:b/>
                <w:color w:val="000000"/>
              </w:rPr>
              <w:t xml:space="preserve"> half </w:t>
            </w:r>
            <w:r w:rsidRPr="00D1550C">
              <w:rPr>
                <w:rFonts w:asciiTheme="minorHAnsi" w:hAnsiTheme="minorHAnsi" w:cstheme="minorHAnsi"/>
                <w:b/>
                <w:color w:val="000000"/>
              </w:rPr>
              <w:t>of 2021</w:t>
            </w:r>
          </w:p>
        </w:tc>
      </w:tr>
      <w:tr w:rsidR="00247175" w:rsidRPr="00D1550C" w:rsidTr="00832C1D">
        <w:trPr>
          <w:trHeight w:val="504"/>
        </w:trPr>
        <w:tc>
          <w:tcPr>
            <w:tcW w:w="3886" w:type="dxa"/>
            <w:shd w:val="clear" w:color="auto" w:fill="BDD6EE" w:themeFill="accent1" w:themeFillTint="66"/>
            <w:vAlign w:val="center"/>
          </w:tcPr>
          <w:p w:rsidR="00247175" w:rsidRPr="00D1550C" w:rsidRDefault="00247175" w:rsidP="00247175">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-4 225,5</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-1 178,6</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51,2</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-5 352,9</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-1 127,4</w:t>
            </w:r>
          </w:p>
        </w:tc>
      </w:tr>
      <w:tr w:rsidR="00247175" w:rsidRPr="00D1550C" w:rsidTr="00832C1D">
        <w:trPr>
          <w:trHeight w:val="504"/>
        </w:trPr>
        <w:tc>
          <w:tcPr>
            <w:tcW w:w="3886" w:type="dxa"/>
            <w:shd w:val="clear" w:color="auto" w:fill="BDD6EE" w:themeFill="accent1" w:themeFillTint="66"/>
            <w:vAlign w:val="center"/>
          </w:tcPr>
          <w:p w:rsidR="00247175" w:rsidRPr="00D1550C" w:rsidRDefault="00247175" w:rsidP="00247175">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2 759,6</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-327,5</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-8,4</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2 423,7</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-335,9</w:t>
            </w:r>
          </w:p>
        </w:tc>
      </w:tr>
      <w:tr w:rsidR="00247175" w:rsidRPr="00D1550C" w:rsidTr="00F0184E">
        <w:trPr>
          <w:trHeight w:val="504"/>
        </w:trPr>
        <w:tc>
          <w:tcPr>
            <w:tcW w:w="3886" w:type="dxa"/>
            <w:vAlign w:val="center"/>
          </w:tcPr>
          <w:p w:rsidR="00247175" w:rsidRPr="00D1550C" w:rsidRDefault="00247175" w:rsidP="00247175">
            <w:r w:rsidRPr="00D1550C">
              <w:t xml:space="preserve">Direct investments </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20,2</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0,2</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20,4</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0,2</w:t>
            </w:r>
          </w:p>
        </w:tc>
      </w:tr>
      <w:tr w:rsidR="00247175" w:rsidRPr="00D1550C" w:rsidTr="00F0184E">
        <w:trPr>
          <w:trHeight w:val="504"/>
        </w:trPr>
        <w:tc>
          <w:tcPr>
            <w:tcW w:w="3886" w:type="dxa"/>
            <w:vAlign w:val="center"/>
          </w:tcPr>
          <w:p w:rsidR="00247175" w:rsidRPr="00D1550C" w:rsidRDefault="00247175" w:rsidP="00247175">
            <w:r w:rsidRPr="00D1550C">
              <w:t>Portfolio investments</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1,13</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1,1</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r>
      <w:tr w:rsidR="00247175" w:rsidRPr="00D1550C" w:rsidTr="00F0184E">
        <w:trPr>
          <w:trHeight w:val="504"/>
        </w:trPr>
        <w:tc>
          <w:tcPr>
            <w:tcW w:w="3886" w:type="dxa"/>
            <w:vAlign w:val="center"/>
          </w:tcPr>
          <w:p w:rsidR="00247175" w:rsidRPr="00D1550C" w:rsidRDefault="00247175" w:rsidP="00247175">
            <w:r w:rsidRPr="00D1550C">
              <w:t xml:space="preserve">Currency and deposits </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2 733,6</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-330,1</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-8,6</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2 394,9</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-338,7</w:t>
            </w:r>
          </w:p>
        </w:tc>
      </w:tr>
      <w:tr w:rsidR="00247175" w:rsidRPr="00D1550C" w:rsidTr="00F0184E">
        <w:trPr>
          <w:trHeight w:val="504"/>
        </w:trPr>
        <w:tc>
          <w:tcPr>
            <w:tcW w:w="3886" w:type="dxa"/>
            <w:vAlign w:val="center"/>
          </w:tcPr>
          <w:p w:rsidR="00247175" w:rsidRPr="00D1550C" w:rsidRDefault="00247175" w:rsidP="00247175">
            <w:pPr>
              <w:rPr>
                <w:rFonts w:cs="Calibri"/>
                <w:color w:val="000000"/>
              </w:rPr>
            </w:pPr>
            <w:r w:rsidRPr="00D1550C">
              <w:t>Loans and credits</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4,7</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2,6</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7,3</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2,6</w:t>
            </w:r>
          </w:p>
        </w:tc>
      </w:tr>
      <w:tr w:rsidR="00247175" w:rsidRPr="00D1550C" w:rsidTr="00832C1D">
        <w:trPr>
          <w:trHeight w:val="504"/>
        </w:trPr>
        <w:tc>
          <w:tcPr>
            <w:tcW w:w="3886" w:type="dxa"/>
            <w:shd w:val="clear" w:color="auto" w:fill="BDD6EE" w:themeFill="accent1" w:themeFillTint="66"/>
            <w:vAlign w:val="center"/>
          </w:tcPr>
          <w:p w:rsidR="00247175" w:rsidRPr="00D1550C" w:rsidRDefault="00247175" w:rsidP="00247175">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6 985,1</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851,0</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-59,5</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7 776,6</w:t>
            </w:r>
          </w:p>
        </w:tc>
        <w:tc>
          <w:tcPr>
            <w:tcW w:w="2209"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791,5</w:t>
            </w:r>
          </w:p>
        </w:tc>
      </w:tr>
      <w:tr w:rsidR="00247175" w:rsidRPr="00D1550C" w:rsidTr="00F0184E">
        <w:trPr>
          <w:trHeight w:val="504"/>
        </w:trPr>
        <w:tc>
          <w:tcPr>
            <w:tcW w:w="3886" w:type="dxa"/>
            <w:vAlign w:val="center"/>
          </w:tcPr>
          <w:p w:rsidR="00247175" w:rsidRPr="00D1550C" w:rsidRDefault="00247175" w:rsidP="00247175">
            <w:r w:rsidRPr="00D1550C">
              <w:t xml:space="preserve">Direct investments </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295,3</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94,6</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-4,4</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385,5</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90,2</w:t>
            </w:r>
          </w:p>
        </w:tc>
      </w:tr>
      <w:tr w:rsidR="00247175" w:rsidRPr="00D1550C" w:rsidTr="00F0184E">
        <w:trPr>
          <w:trHeight w:val="504"/>
        </w:trPr>
        <w:tc>
          <w:tcPr>
            <w:tcW w:w="3886" w:type="dxa"/>
            <w:vAlign w:val="center"/>
          </w:tcPr>
          <w:p w:rsidR="00247175" w:rsidRPr="00D1550C" w:rsidRDefault="00247175" w:rsidP="00247175">
            <w:r w:rsidRPr="00D1550C">
              <w:t>Portfolio investments</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959,5</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81,3</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18,5</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1 059,2</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99,7</w:t>
            </w:r>
          </w:p>
        </w:tc>
      </w:tr>
      <w:tr w:rsidR="00247175" w:rsidRPr="00D1550C" w:rsidTr="00F0184E">
        <w:trPr>
          <w:trHeight w:val="504"/>
        </w:trPr>
        <w:tc>
          <w:tcPr>
            <w:tcW w:w="3886" w:type="dxa"/>
            <w:vAlign w:val="center"/>
          </w:tcPr>
          <w:p w:rsidR="00247175" w:rsidRPr="00D1550C" w:rsidRDefault="00247175" w:rsidP="00247175">
            <w:r w:rsidRPr="00D1550C">
              <w:t xml:space="preserve">Financial derivatives </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16,7</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-6,2</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2,6</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13,1</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-3,6</w:t>
            </w:r>
          </w:p>
        </w:tc>
      </w:tr>
      <w:tr w:rsidR="00247175" w:rsidRPr="00D1550C" w:rsidTr="00F0184E">
        <w:trPr>
          <w:trHeight w:val="504"/>
        </w:trPr>
        <w:tc>
          <w:tcPr>
            <w:tcW w:w="3886" w:type="dxa"/>
            <w:vAlign w:val="center"/>
          </w:tcPr>
          <w:p w:rsidR="00247175" w:rsidRPr="00D1550C" w:rsidRDefault="00247175" w:rsidP="00247175">
            <w:r w:rsidRPr="00D1550C">
              <w:t xml:space="preserve">Currency and deposits </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373,2</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-4,2</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-1,6</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367,5</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-5,8</w:t>
            </w:r>
          </w:p>
        </w:tc>
      </w:tr>
      <w:tr w:rsidR="00247175" w:rsidRPr="00D1550C" w:rsidTr="00F0184E">
        <w:trPr>
          <w:trHeight w:val="504"/>
        </w:trPr>
        <w:tc>
          <w:tcPr>
            <w:tcW w:w="3886" w:type="dxa"/>
            <w:vAlign w:val="center"/>
          </w:tcPr>
          <w:p w:rsidR="00247175" w:rsidRPr="00D1550C" w:rsidRDefault="00247175" w:rsidP="00247175">
            <w:r w:rsidRPr="00D1550C">
              <w:t xml:space="preserve">Loans and credits </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5 340,4</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685,6</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-74,6</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5 951,3</w:t>
            </w:r>
          </w:p>
        </w:tc>
        <w:tc>
          <w:tcPr>
            <w:tcW w:w="2209"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611,0</w:t>
            </w:r>
          </w:p>
        </w:tc>
      </w:tr>
    </w:tbl>
    <w:p w:rsidR="00AB0C31" w:rsidRPr="00D1550C" w:rsidRDefault="00AB0C31" w:rsidP="00AB0C31">
      <w:pPr>
        <w:rPr>
          <w:sz w:val="22"/>
          <w:szCs w:val="22"/>
        </w:rPr>
      </w:pPr>
      <w:r w:rsidRPr="00D1550C">
        <w:rPr>
          <w:sz w:val="22"/>
          <w:szCs w:val="22"/>
        </w:rPr>
        <w:br w:type="page"/>
      </w:r>
    </w:p>
    <w:p w:rsidR="009304D9" w:rsidRPr="00D1550C" w:rsidRDefault="009304D9" w:rsidP="009304D9">
      <w:pPr>
        <w:ind w:right="82"/>
        <w:jc w:val="right"/>
        <w:rPr>
          <w:i/>
          <w:iCs/>
          <w:color w:val="000000"/>
          <w:sz w:val="22"/>
          <w:szCs w:val="22"/>
        </w:rPr>
      </w:pPr>
      <w:r w:rsidRPr="00D1550C">
        <w:rPr>
          <w:i/>
          <w:sz w:val="22"/>
          <w:szCs w:val="22"/>
        </w:rPr>
        <w:lastRenderedPageBreak/>
        <w:t>Addenda</w:t>
      </w:r>
      <w:r w:rsidR="00C47899" w:rsidRPr="00D1550C">
        <w:rPr>
          <w:i/>
          <w:iCs/>
          <w:color w:val="000000"/>
          <w:sz w:val="22"/>
          <w:szCs w:val="22"/>
        </w:rPr>
        <w:t xml:space="preserve"> 1</w:t>
      </w:r>
      <w:r w:rsidR="00662B53" w:rsidRPr="00D1550C">
        <w:rPr>
          <w:i/>
          <w:iCs/>
          <w:color w:val="000000"/>
          <w:sz w:val="22"/>
          <w:szCs w:val="22"/>
        </w:rPr>
        <w:t>3</w:t>
      </w:r>
      <w:r w:rsidR="00C47899" w:rsidRPr="00D1550C">
        <w:rPr>
          <w:i/>
          <w:iCs/>
          <w:color w:val="000000"/>
          <w:sz w:val="22"/>
          <w:szCs w:val="22"/>
        </w:rPr>
        <w:t>.4</w:t>
      </w:r>
    </w:p>
    <w:p w:rsidR="009304D9" w:rsidRPr="00D1550C" w:rsidRDefault="009304D9" w:rsidP="009304D9">
      <w:pPr>
        <w:pStyle w:val="1"/>
        <w:ind w:left="0"/>
        <w:jc w:val="center"/>
        <w:rPr>
          <w:rFonts w:ascii="Calibri" w:hAnsi="Calibri"/>
          <w:sz w:val="26"/>
          <w:szCs w:val="26"/>
          <w:lang w:val="en-US"/>
        </w:rPr>
      </w:pPr>
      <w:bookmarkStart w:id="41" w:name="_Toc83291143"/>
      <w:r w:rsidRPr="00D1550C">
        <w:rPr>
          <w:rFonts w:ascii="Calibri" w:hAnsi="Calibri" w:cs="Calibri"/>
          <w:sz w:val="26"/>
          <w:szCs w:val="26"/>
          <w:lang w:val="en-US"/>
        </w:rPr>
        <w:t xml:space="preserve">INTERNATIONAL INVESTMENT POSITION OF OTHER SECTORS </w:t>
      </w:r>
      <w:r w:rsidR="00752542" w:rsidRPr="00D1550C">
        <w:rPr>
          <w:rFonts w:ascii="Calibri" w:hAnsi="Calibri" w:cs="Calibri"/>
          <w:sz w:val="26"/>
          <w:szCs w:val="26"/>
          <w:lang w:val="en-US"/>
        </w:rPr>
        <w:t>FOR</w:t>
      </w:r>
      <w:r w:rsidR="00E05168" w:rsidRPr="00D1550C">
        <w:rPr>
          <w:rFonts w:ascii="Calibri" w:hAnsi="Calibri" w:cs="Calibri"/>
          <w:sz w:val="26"/>
          <w:szCs w:val="26"/>
          <w:lang w:val="en-US"/>
        </w:rPr>
        <w:t xml:space="preserve"> </w:t>
      </w:r>
      <w:r w:rsidR="00247175" w:rsidRPr="00D1550C">
        <w:rPr>
          <w:rFonts w:ascii="Calibri" w:hAnsi="Calibri" w:cs="Calibri"/>
          <w:sz w:val="26"/>
          <w:szCs w:val="26"/>
          <w:lang w:val="en-US"/>
        </w:rPr>
        <w:t xml:space="preserve">THE FIRST HALF </w:t>
      </w:r>
      <w:r w:rsidR="00E05168" w:rsidRPr="00D1550C">
        <w:rPr>
          <w:rFonts w:ascii="Calibri" w:hAnsi="Calibri" w:cs="Calibri"/>
          <w:sz w:val="26"/>
          <w:szCs w:val="26"/>
          <w:lang w:val="en-US"/>
        </w:rPr>
        <w:t>OF</w:t>
      </w:r>
      <w:r w:rsidR="00DF7434" w:rsidRPr="00D1550C">
        <w:rPr>
          <w:rFonts w:ascii="Calibri" w:hAnsi="Calibri" w:cs="Calibri"/>
          <w:sz w:val="26"/>
          <w:szCs w:val="26"/>
          <w:lang w:val="en-US"/>
        </w:rPr>
        <w:t xml:space="preserve"> 202</w:t>
      </w:r>
      <w:r w:rsidR="00A05D91" w:rsidRPr="00D1550C">
        <w:rPr>
          <w:rFonts w:ascii="Calibri" w:hAnsi="Calibri" w:cs="Calibri"/>
          <w:sz w:val="26"/>
          <w:szCs w:val="26"/>
          <w:lang w:val="en-US"/>
        </w:rPr>
        <w:t>1</w:t>
      </w:r>
      <w:bookmarkEnd w:id="41"/>
    </w:p>
    <w:p w:rsidR="009304D9" w:rsidRPr="00D1550C" w:rsidRDefault="009304D9" w:rsidP="009304D9">
      <w:pPr>
        <w:jc w:val="center"/>
      </w:pPr>
      <w:r w:rsidRPr="00D1550C">
        <w:rPr>
          <w:rFonts w:cs="Calibri"/>
          <w:i/>
          <w:iCs/>
          <w:color w:val="000000"/>
        </w:rPr>
        <w:t>(detailed by main components)</w:t>
      </w:r>
      <w:r w:rsidRPr="00D1550C">
        <w:rPr>
          <w:i/>
          <w:color w:val="000000"/>
        </w:rPr>
        <w:t xml:space="preserve"> </w:t>
      </w:r>
    </w:p>
    <w:p w:rsidR="009304D9" w:rsidRPr="00D1550C" w:rsidRDefault="009304D9" w:rsidP="009304D9">
      <w:pPr>
        <w:jc w:val="center"/>
        <w:rPr>
          <w:sz w:val="20"/>
          <w:szCs w:val="20"/>
        </w:rPr>
      </w:pPr>
    </w:p>
    <w:p w:rsidR="00A11907" w:rsidRPr="00D1550C" w:rsidRDefault="00A11907" w:rsidP="00A11907">
      <w:pPr>
        <w:jc w:val="right"/>
        <w:rPr>
          <w:i/>
          <w:iCs/>
          <w:color w:val="000000"/>
        </w:rPr>
      </w:pPr>
      <w:r w:rsidRPr="00D1550C">
        <w:rPr>
          <w:i/>
          <w:sz w:val="20"/>
          <w:szCs w:val="20"/>
        </w:rPr>
        <w:t>(mln. USD)</w:t>
      </w:r>
    </w:p>
    <w:tbl>
      <w:tblPr>
        <w:tblW w:w="14945"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90"/>
        <w:gridCol w:w="2211"/>
        <w:gridCol w:w="2211"/>
        <w:gridCol w:w="2211"/>
        <w:gridCol w:w="2211"/>
        <w:gridCol w:w="2211"/>
      </w:tblGrid>
      <w:tr w:rsidR="00662B53" w:rsidRPr="00D1550C" w:rsidTr="00B8168D">
        <w:trPr>
          <w:trHeight w:val="976"/>
        </w:trPr>
        <w:tc>
          <w:tcPr>
            <w:tcW w:w="3890" w:type="dxa"/>
            <w:vAlign w:val="center"/>
          </w:tcPr>
          <w:p w:rsidR="00662B53" w:rsidRPr="00D1550C" w:rsidRDefault="00662B53" w:rsidP="00662B53">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11" w:type="dxa"/>
            <w:vAlign w:val="center"/>
          </w:tcPr>
          <w:p w:rsidR="00662B53" w:rsidRPr="00D1550C" w:rsidRDefault="00662B53"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11"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11"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11" w:type="dxa"/>
            <w:vAlign w:val="center"/>
          </w:tcPr>
          <w:p w:rsidR="00662B53" w:rsidRPr="00D1550C" w:rsidRDefault="00E80BE1" w:rsidP="00247175">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01.0</w:t>
            </w:r>
            <w:r w:rsidR="00247175" w:rsidRPr="00D1550C">
              <w:rPr>
                <w:rFonts w:asciiTheme="minorHAnsi" w:hAnsiTheme="minorHAnsi" w:cstheme="minorHAnsi"/>
                <w:b/>
                <w:color w:val="000000"/>
              </w:rPr>
              <w:t>7</w:t>
            </w:r>
            <w:r w:rsidR="00662B53" w:rsidRPr="00D1550C">
              <w:rPr>
                <w:rFonts w:asciiTheme="minorHAnsi" w:hAnsiTheme="minorHAnsi" w:cstheme="minorHAnsi"/>
                <w:b/>
                <w:color w:val="000000"/>
              </w:rPr>
              <w:t>.2021</w:t>
            </w:r>
          </w:p>
        </w:tc>
        <w:tc>
          <w:tcPr>
            <w:tcW w:w="2211" w:type="dxa"/>
            <w:vAlign w:val="center"/>
          </w:tcPr>
          <w:p w:rsidR="00662B53" w:rsidRPr="00D1550C" w:rsidRDefault="00E80BE1" w:rsidP="00247175">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247175" w:rsidRPr="00D1550C">
              <w:rPr>
                <w:rFonts w:asciiTheme="minorHAnsi" w:hAnsiTheme="minorHAnsi" w:cstheme="minorHAnsi"/>
                <w:b/>
                <w:color w:val="000000"/>
              </w:rPr>
              <w:t>the</w:t>
            </w:r>
            <w:r w:rsidRPr="00D1550C">
              <w:rPr>
                <w:rFonts w:asciiTheme="minorHAnsi" w:hAnsiTheme="minorHAnsi" w:cstheme="minorHAnsi"/>
                <w:b/>
                <w:color w:val="000000"/>
              </w:rPr>
              <w:t xml:space="preserve"> </w:t>
            </w:r>
            <w:r w:rsidRPr="00D1550C">
              <w:rPr>
                <w:rFonts w:asciiTheme="minorHAnsi" w:hAnsiTheme="minorHAnsi" w:cstheme="minorHAnsi"/>
                <w:b/>
                <w:color w:val="000000"/>
              </w:rPr>
              <w:br/>
            </w:r>
            <w:r w:rsidR="00247175" w:rsidRPr="00D1550C">
              <w:rPr>
                <w:rFonts w:asciiTheme="minorHAnsi" w:hAnsiTheme="minorHAnsi" w:cstheme="minorHAnsi"/>
                <w:b/>
                <w:color w:val="000000"/>
              </w:rPr>
              <w:t>1</w:t>
            </w:r>
            <w:r w:rsidR="00247175" w:rsidRPr="00D1550C">
              <w:rPr>
                <w:rFonts w:asciiTheme="minorHAnsi" w:hAnsiTheme="minorHAnsi" w:cstheme="minorHAnsi"/>
                <w:b/>
                <w:color w:val="000000"/>
                <w:sz w:val="32"/>
                <w:vertAlign w:val="superscript"/>
              </w:rPr>
              <w:t>st</w:t>
            </w:r>
            <w:r w:rsidR="00247175" w:rsidRPr="00D1550C">
              <w:rPr>
                <w:rFonts w:asciiTheme="minorHAnsi" w:hAnsiTheme="minorHAnsi" w:cstheme="minorHAnsi"/>
                <w:b/>
                <w:color w:val="000000"/>
              </w:rPr>
              <w:t xml:space="preserve"> half </w:t>
            </w:r>
            <w:r w:rsidRPr="00D1550C">
              <w:rPr>
                <w:rFonts w:asciiTheme="minorHAnsi" w:hAnsiTheme="minorHAnsi" w:cstheme="minorHAnsi"/>
                <w:b/>
                <w:color w:val="000000"/>
              </w:rPr>
              <w:t>of 2021</w:t>
            </w:r>
          </w:p>
        </w:tc>
      </w:tr>
      <w:tr w:rsidR="00247175" w:rsidRPr="00D1550C" w:rsidTr="00832C1D">
        <w:trPr>
          <w:trHeight w:val="504"/>
        </w:trPr>
        <w:tc>
          <w:tcPr>
            <w:tcW w:w="3890" w:type="dxa"/>
            <w:shd w:val="clear" w:color="auto" w:fill="BDD6EE" w:themeFill="accent1" w:themeFillTint="66"/>
            <w:vAlign w:val="center"/>
          </w:tcPr>
          <w:p w:rsidR="00247175" w:rsidRPr="00D1550C" w:rsidRDefault="00247175" w:rsidP="00247175">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6 091,7</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-1 184,1</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897,8</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5 805,4</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-286,3</w:t>
            </w:r>
          </w:p>
        </w:tc>
      </w:tr>
      <w:tr w:rsidR="00247175" w:rsidRPr="00D1550C" w:rsidTr="00832C1D">
        <w:trPr>
          <w:trHeight w:val="504"/>
        </w:trPr>
        <w:tc>
          <w:tcPr>
            <w:tcW w:w="3890" w:type="dxa"/>
            <w:shd w:val="clear" w:color="auto" w:fill="BDD6EE" w:themeFill="accent1" w:themeFillTint="66"/>
            <w:vAlign w:val="center"/>
          </w:tcPr>
          <w:p w:rsidR="00247175" w:rsidRPr="00D1550C" w:rsidRDefault="00247175" w:rsidP="00247175">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28 250,2</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1 320,4</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-0,1</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29 570,6</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1 320,4</w:t>
            </w:r>
          </w:p>
        </w:tc>
      </w:tr>
      <w:tr w:rsidR="00247175" w:rsidRPr="00D1550C" w:rsidTr="00B8168D">
        <w:trPr>
          <w:trHeight w:val="504"/>
        </w:trPr>
        <w:tc>
          <w:tcPr>
            <w:tcW w:w="3890" w:type="dxa"/>
            <w:vAlign w:val="center"/>
          </w:tcPr>
          <w:p w:rsidR="00247175" w:rsidRPr="00D1550C" w:rsidRDefault="00247175" w:rsidP="00247175">
            <w:r w:rsidRPr="00D1550C">
              <w:t xml:space="preserve">Direct investments </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174,9</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1,2</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176,2</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1,2</w:t>
            </w:r>
          </w:p>
        </w:tc>
      </w:tr>
      <w:tr w:rsidR="00247175" w:rsidRPr="00D1550C" w:rsidTr="00B8168D">
        <w:trPr>
          <w:trHeight w:val="504"/>
        </w:trPr>
        <w:tc>
          <w:tcPr>
            <w:tcW w:w="3890" w:type="dxa"/>
            <w:vAlign w:val="center"/>
          </w:tcPr>
          <w:p w:rsidR="00247175" w:rsidRPr="00D1550C" w:rsidRDefault="00247175" w:rsidP="00247175">
            <w:r w:rsidRPr="00D1550C">
              <w:t>Portfolio investments</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1,4</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1,4</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0,0</w:t>
            </w:r>
          </w:p>
        </w:tc>
      </w:tr>
      <w:tr w:rsidR="00247175" w:rsidRPr="00D1550C" w:rsidTr="00B8168D">
        <w:trPr>
          <w:trHeight w:val="504"/>
        </w:trPr>
        <w:tc>
          <w:tcPr>
            <w:tcW w:w="3890" w:type="dxa"/>
            <w:vAlign w:val="center"/>
          </w:tcPr>
          <w:p w:rsidR="00247175" w:rsidRPr="00D1550C" w:rsidRDefault="00247175" w:rsidP="00247175">
            <w:r w:rsidRPr="00D1550C">
              <w:t xml:space="preserve">Currency and deposits </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20 242,2</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847,8</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0,1</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21 090,1</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847,9</w:t>
            </w:r>
          </w:p>
        </w:tc>
      </w:tr>
      <w:tr w:rsidR="00247175" w:rsidRPr="00D1550C" w:rsidTr="00B8168D">
        <w:trPr>
          <w:trHeight w:val="504"/>
        </w:trPr>
        <w:tc>
          <w:tcPr>
            <w:tcW w:w="3890" w:type="dxa"/>
            <w:vAlign w:val="center"/>
          </w:tcPr>
          <w:p w:rsidR="00247175" w:rsidRPr="00D1550C" w:rsidRDefault="00247175" w:rsidP="00247175">
            <w:r w:rsidRPr="00D1550C">
              <w:t>Loans</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1,1</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1,1</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w:t>
            </w:r>
          </w:p>
        </w:tc>
      </w:tr>
      <w:tr w:rsidR="00247175" w:rsidRPr="00D1550C" w:rsidTr="00B8168D">
        <w:trPr>
          <w:trHeight w:val="504"/>
        </w:trPr>
        <w:tc>
          <w:tcPr>
            <w:tcW w:w="3890" w:type="dxa"/>
            <w:vAlign w:val="center"/>
          </w:tcPr>
          <w:p w:rsidR="00247175" w:rsidRPr="00D1550C" w:rsidRDefault="00247175" w:rsidP="00247175">
            <w:r w:rsidRPr="00D1550C">
              <w:t xml:space="preserve">Trade credits and advances </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7 830,7</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471,4</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-0,1</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8 301,9</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471,2</w:t>
            </w:r>
          </w:p>
        </w:tc>
      </w:tr>
      <w:tr w:rsidR="00247175" w:rsidRPr="00D1550C" w:rsidTr="00832C1D">
        <w:trPr>
          <w:trHeight w:val="504"/>
        </w:trPr>
        <w:tc>
          <w:tcPr>
            <w:tcW w:w="3890" w:type="dxa"/>
            <w:shd w:val="clear" w:color="auto" w:fill="BDD6EE" w:themeFill="accent1" w:themeFillTint="66"/>
            <w:vAlign w:val="center"/>
          </w:tcPr>
          <w:p w:rsidR="00247175" w:rsidRPr="00D1550C" w:rsidRDefault="00247175" w:rsidP="00247175">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22 158,6</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2 504,5</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-897,9</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23 765,3</w:t>
            </w:r>
          </w:p>
        </w:tc>
        <w:tc>
          <w:tcPr>
            <w:tcW w:w="2211" w:type="dxa"/>
            <w:shd w:val="clear" w:color="auto" w:fill="BDD6EE" w:themeFill="accent1" w:themeFillTint="66"/>
            <w:vAlign w:val="center"/>
          </w:tcPr>
          <w:p w:rsidR="00247175" w:rsidRPr="00D1550C" w:rsidRDefault="00247175" w:rsidP="00247175">
            <w:pPr>
              <w:jc w:val="center"/>
              <w:rPr>
                <w:rFonts w:asciiTheme="minorHAnsi" w:hAnsiTheme="minorHAnsi" w:cstheme="minorHAnsi"/>
                <w:b/>
                <w:bCs/>
                <w:color w:val="000000"/>
              </w:rPr>
            </w:pPr>
            <w:r w:rsidRPr="00D1550C">
              <w:rPr>
                <w:rFonts w:asciiTheme="minorHAnsi" w:hAnsiTheme="minorHAnsi" w:cstheme="minorHAnsi"/>
                <w:b/>
                <w:bCs/>
                <w:color w:val="000000"/>
              </w:rPr>
              <w:t>1 606,7</w:t>
            </w:r>
          </w:p>
        </w:tc>
      </w:tr>
      <w:tr w:rsidR="00247175" w:rsidRPr="00D1550C" w:rsidTr="00B8168D">
        <w:trPr>
          <w:trHeight w:val="504"/>
        </w:trPr>
        <w:tc>
          <w:tcPr>
            <w:tcW w:w="3890" w:type="dxa"/>
            <w:vAlign w:val="center"/>
          </w:tcPr>
          <w:p w:rsidR="00247175" w:rsidRPr="00D1550C" w:rsidRDefault="00247175" w:rsidP="00247175">
            <w:r w:rsidRPr="00D1550C">
              <w:t xml:space="preserve">Direct investments </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9 965,9</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1 029,1</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-820,4</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10 174,6</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208,7</w:t>
            </w:r>
          </w:p>
        </w:tc>
      </w:tr>
      <w:tr w:rsidR="00247175" w:rsidRPr="00D1550C" w:rsidTr="00B8168D">
        <w:trPr>
          <w:trHeight w:val="504"/>
        </w:trPr>
        <w:tc>
          <w:tcPr>
            <w:tcW w:w="3890" w:type="dxa"/>
            <w:vAlign w:val="center"/>
          </w:tcPr>
          <w:p w:rsidR="00247175" w:rsidRPr="00D1550C" w:rsidRDefault="00247175" w:rsidP="00247175">
            <w:r w:rsidRPr="00D1550C">
              <w:t>Portfolio investments</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45,1</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303,2</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-4,1</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344,2</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299,1</w:t>
            </w:r>
          </w:p>
        </w:tc>
      </w:tr>
      <w:tr w:rsidR="00247175" w:rsidRPr="00D1550C" w:rsidTr="00B8168D">
        <w:trPr>
          <w:trHeight w:val="504"/>
        </w:trPr>
        <w:tc>
          <w:tcPr>
            <w:tcW w:w="3890" w:type="dxa"/>
            <w:vAlign w:val="center"/>
          </w:tcPr>
          <w:p w:rsidR="00247175" w:rsidRPr="00D1550C" w:rsidRDefault="00247175" w:rsidP="00247175">
            <w:r w:rsidRPr="00D1550C">
              <w:t>Loans</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10 416,0</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681,5</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-73,2</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11 024,3</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608,3</w:t>
            </w:r>
          </w:p>
        </w:tc>
      </w:tr>
      <w:tr w:rsidR="00247175" w:rsidRPr="00D1550C" w:rsidTr="00B8168D">
        <w:trPr>
          <w:trHeight w:val="504"/>
        </w:trPr>
        <w:tc>
          <w:tcPr>
            <w:tcW w:w="3890" w:type="dxa"/>
            <w:vAlign w:val="center"/>
          </w:tcPr>
          <w:p w:rsidR="00247175" w:rsidRPr="00D1550C" w:rsidRDefault="00247175" w:rsidP="00247175">
            <w:r w:rsidRPr="00D1550C">
              <w:t>Trade credits and advances</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759,3</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342,4</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-0,1</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1 101,6</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342,3</w:t>
            </w:r>
          </w:p>
        </w:tc>
      </w:tr>
      <w:tr w:rsidR="00247175" w:rsidRPr="00D1550C" w:rsidTr="00B8168D">
        <w:trPr>
          <w:trHeight w:val="504"/>
        </w:trPr>
        <w:tc>
          <w:tcPr>
            <w:tcW w:w="3890" w:type="dxa"/>
            <w:vAlign w:val="center"/>
          </w:tcPr>
          <w:p w:rsidR="00247175" w:rsidRPr="00D1550C" w:rsidRDefault="00247175" w:rsidP="00247175">
            <w:r w:rsidRPr="00D1550C">
              <w:t>Other accounts payable</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972,2</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148,4</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1 120,5</w:t>
            </w:r>
          </w:p>
        </w:tc>
        <w:tc>
          <w:tcPr>
            <w:tcW w:w="2211" w:type="dxa"/>
            <w:vAlign w:val="center"/>
          </w:tcPr>
          <w:p w:rsidR="00247175" w:rsidRPr="00D1550C" w:rsidRDefault="00247175" w:rsidP="00247175">
            <w:pPr>
              <w:jc w:val="center"/>
              <w:rPr>
                <w:rFonts w:asciiTheme="minorHAnsi" w:hAnsiTheme="minorHAnsi" w:cstheme="minorHAnsi"/>
                <w:color w:val="000000"/>
              </w:rPr>
            </w:pPr>
            <w:r w:rsidRPr="00D1550C">
              <w:rPr>
                <w:rFonts w:asciiTheme="minorHAnsi" w:hAnsiTheme="minorHAnsi" w:cstheme="minorHAnsi"/>
                <w:color w:val="000000"/>
              </w:rPr>
              <w:t>148,4</w:t>
            </w:r>
          </w:p>
        </w:tc>
      </w:tr>
    </w:tbl>
    <w:p w:rsidR="009304D9" w:rsidRPr="00D1550C" w:rsidRDefault="009304D9" w:rsidP="009304D9">
      <w:pPr>
        <w:rPr>
          <w:rFonts w:cs="Arial"/>
          <w:highlight w:val="yellow"/>
        </w:rPr>
        <w:sectPr w:rsidR="009304D9" w:rsidRPr="00D1550C" w:rsidSect="00353B97">
          <w:footerReference w:type="first" r:id="rId51"/>
          <w:pgSz w:w="16838" w:h="11906" w:orient="landscape" w:code="9"/>
          <w:pgMar w:top="567" w:right="1021" w:bottom="709" w:left="851" w:header="709" w:footer="709" w:gutter="0"/>
          <w:cols w:space="708"/>
          <w:titlePg/>
          <w:docGrid w:linePitch="360"/>
        </w:sectPr>
      </w:pPr>
    </w:p>
    <w:p w:rsidR="009304D9" w:rsidRPr="00D1550C" w:rsidRDefault="00A11907" w:rsidP="009304D9">
      <w:pPr>
        <w:pStyle w:val="af2"/>
        <w:keepNext/>
        <w:jc w:val="right"/>
        <w:rPr>
          <w:color w:val="auto"/>
          <w:sz w:val="22"/>
          <w:szCs w:val="22"/>
        </w:rPr>
      </w:pPr>
      <w:r w:rsidRPr="00D1550C">
        <w:rPr>
          <w:color w:val="auto"/>
          <w:sz w:val="22"/>
          <w:szCs w:val="22"/>
        </w:rPr>
        <w:lastRenderedPageBreak/>
        <w:t>Addenda 1</w:t>
      </w:r>
      <w:r w:rsidR="00662B53" w:rsidRPr="00D1550C">
        <w:rPr>
          <w:color w:val="auto"/>
          <w:sz w:val="22"/>
          <w:szCs w:val="22"/>
        </w:rPr>
        <w:t>4</w:t>
      </w:r>
      <w:r w:rsidRPr="00D1550C">
        <w:rPr>
          <w:color w:val="auto"/>
          <w:sz w:val="22"/>
          <w:szCs w:val="22"/>
        </w:rPr>
        <w:t>.1</w:t>
      </w:r>
    </w:p>
    <w:p w:rsidR="009304D9" w:rsidRPr="00D1550C" w:rsidRDefault="009304D9" w:rsidP="009304D9">
      <w:pPr>
        <w:pStyle w:val="1"/>
        <w:ind w:left="0"/>
        <w:jc w:val="center"/>
        <w:rPr>
          <w:rFonts w:ascii="Calibri" w:hAnsi="Calibri"/>
          <w:sz w:val="26"/>
          <w:szCs w:val="26"/>
          <w:lang w:val="en-US"/>
        </w:rPr>
      </w:pPr>
      <w:bookmarkStart w:id="42" w:name="_Toc83291144"/>
      <w:r w:rsidRPr="00D1550C">
        <w:rPr>
          <w:rFonts w:ascii="Calibri" w:hAnsi="Calibri" w:cs="Calibri"/>
          <w:sz w:val="26"/>
          <w:szCs w:val="26"/>
          <w:lang w:val="en-US"/>
        </w:rPr>
        <w:t>INFORMATION ON RECEIPTS AND PAYMENTS OF PRIVATE EXTERNAL DEBT</w:t>
      </w:r>
      <w:r w:rsidR="00CD6E2A" w:rsidRPr="00D1550C">
        <w:rPr>
          <w:rFonts w:ascii="Calibri" w:hAnsi="Calibri" w:cs="Calibri"/>
          <w:sz w:val="26"/>
          <w:szCs w:val="26"/>
          <w:lang w:val="en-US"/>
        </w:rPr>
        <w:t xml:space="preserve"> IN</w:t>
      </w:r>
      <w:r w:rsidRPr="00D1550C">
        <w:rPr>
          <w:rFonts w:ascii="Calibri" w:hAnsi="Calibri" w:cs="Calibri"/>
          <w:sz w:val="26"/>
          <w:szCs w:val="26"/>
          <w:lang w:val="en-US"/>
        </w:rPr>
        <w:t xml:space="preserve"> </w:t>
      </w:r>
      <w:r w:rsidR="00CD6E2A" w:rsidRPr="00D1550C">
        <w:rPr>
          <w:rFonts w:ascii="Calibri" w:hAnsi="Calibri" w:cs="Calibri"/>
          <w:sz w:val="26"/>
          <w:szCs w:val="26"/>
          <w:lang w:val="en-US"/>
        </w:rPr>
        <w:t xml:space="preserve">THE FIRST </w:t>
      </w:r>
      <w:r w:rsidR="00CC6304" w:rsidRPr="00D1550C">
        <w:rPr>
          <w:rFonts w:ascii="Calibri" w:hAnsi="Calibri" w:cs="Calibri"/>
          <w:sz w:val="26"/>
          <w:szCs w:val="26"/>
          <w:lang w:val="en-US"/>
        </w:rPr>
        <w:t>HALF</w:t>
      </w:r>
      <w:r w:rsidR="00CD6E2A" w:rsidRPr="00D1550C">
        <w:rPr>
          <w:rFonts w:ascii="Calibri" w:hAnsi="Calibri" w:cs="Calibri"/>
          <w:sz w:val="26"/>
          <w:szCs w:val="26"/>
          <w:lang w:val="en-US"/>
        </w:rPr>
        <w:t xml:space="preserve"> OF </w:t>
      </w:r>
      <w:r w:rsidRPr="00D1550C">
        <w:rPr>
          <w:rFonts w:ascii="Calibri" w:hAnsi="Calibri" w:cs="Calibri"/>
          <w:sz w:val="26"/>
          <w:szCs w:val="26"/>
          <w:lang w:val="en-US"/>
        </w:rPr>
        <w:t>20</w:t>
      </w:r>
      <w:r w:rsidR="00201B0B" w:rsidRPr="00D1550C">
        <w:rPr>
          <w:rFonts w:ascii="Calibri" w:hAnsi="Calibri" w:cs="Calibri"/>
          <w:sz w:val="26"/>
          <w:szCs w:val="26"/>
          <w:lang w:val="en-US"/>
        </w:rPr>
        <w:t>2</w:t>
      </w:r>
      <w:r w:rsidR="00CD6E2A" w:rsidRPr="00D1550C">
        <w:rPr>
          <w:rFonts w:ascii="Calibri" w:hAnsi="Calibri" w:cs="Calibri"/>
          <w:sz w:val="26"/>
          <w:szCs w:val="26"/>
          <w:lang w:val="en-US"/>
        </w:rPr>
        <w:t>1</w:t>
      </w:r>
      <w:bookmarkEnd w:id="42"/>
    </w:p>
    <w:p w:rsidR="009304D9" w:rsidRPr="00D1550C" w:rsidRDefault="009304D9" w:rsidP="009304D9">
      <w:pPr>
        <w:jc w:val="center"/>
        <w:rPr>
          <w:b/>
        </w:rPr>
      </w:pPr>
      <w:r w:rsidRPr="00D1550C">
        <w:rPr>
          <w:rFonts w:cs="Calibri"/>
          <w:i/>
        </w:rPr>
        <w:t>(Type of borrower: all borrowers)</w:t>
      </w:r>
    </w:p>
    <w:p w:rsidR="00BB4B03" w:rsidRPr="00D1550C" w:rsidRDefault="00BB4B03" w:rsidP="00BB4B03">
      <w:pPr>
        <w:jc w:val="right"/>
        <w:rPr>
          <w:i/>
          <w:sz w:val="20"/>
          <w:szCs w:val="20"/>
        </w:rPr>
      </w:pPr>
    </w:p>
    <w:p w:rsidR="00BB4B03" w:rsidRPr="00D1550C" w:rsidRDefault="00BB4B03" w:rsidP="00BB4B03">
      <w:pPr>
        <w:jc w:val="right"/>
        <w:rPr>
          <w:i/>
          <w:sz w:val="20"/>
          <w:szCs w:val="20"/>
        </w:rPr>
      </w:pPr>
      <w:r w:rsidRPr="00D1550C">
        <w:rPr>
          <w:i/>
          <w:sz w:val="20"/>
          <w:szCs w:val="20"/>
        </w:rPr>
        <w:t>(mln.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27"/>
        <w:gridCol w:w="1843"/>
        <w:gridCol w:w="1559"/>
        <w:gridCol w:w="1588"/>
        <w:gridCol w:w="1530"/>
        <w:gridCol w:w="1843"/>
        <w:gridCol w:w="1701"/>
        <w:gridCol w:w="1701"/>
      </w:tblGrid>
      <w:tr w:rsidR="009304D9" w:rsidRPr="00D1550C" w:rsidTr="00832C1D">
        <w:trPr>
          <w:trHeight w:val="255"/>
        </w:trPr>
        <w:tc>
          <w:tcPr>
            <w:tcW w:w="3227" w:type="dxa"/>
            <w:vMerge w:val="restart"/>
            <w:shd w:val="clear" w:color="auto" w:fill="BDD6EE" w:themeFill="accent1" w:themeFillTint="66"/>
            <w:vAlign w:val="center"/>
            <w:hideMark/>
          </w:tcPr>
          <w:p w:rsidR="009304D9" w:rsidRPr="00D1550C" w:rsidRDefault="009304D9" w:rsidP="00BB4B03">
            <w:pPr>
              <w:jc w:val="center"/>
              <w:rPr>
                <w:b/>
              </w:rPr>
            </w:pPr>
            <w:r w:rsidRPr="00D1550C">
              <w:rPr>
                <w:rFonts w:cs="Calibri"/>
                <w:b/>
              </w:rPr>
              <w:t>Type of creditor</w:t>
            </w:r>
          </w:p>
        </w:tc>
        <w:tc>
          <w:tcPr>
            <w:tcW w:w="1843" w:type="dxa"/>
            <w:shd w:val="clear" w:color="auto" w:fill="BDD6EE" w:themeFill="accent1" w:themeFillTint="66"/>
            <w:vAlign w:val="center"/>
            <w:hideMark/>
          </w:tcPr>
          <w:p w:rsidR="009304D9" w:rsidRPr="00D1550C" w:rsidRDefault="009304D9" w:rsidP="00BB4B03">
            <w:pPr>
              <w:jc w:val="center"/>
              <w:rPr>
                <w:rFonts w:cs="Calibri"/>
                <w:b/>
              </w:rPr>
            </w:pPr>
            <w:r w:rsidRPr="00D1550C">
              <w:rPr>
                <w:rFonts w:cs="Calibri"/>
                <w:b/>
              </w:rPr>
              <w:t xml:space="preserve">Beginning of </w:t>
            </w:r>
          </w:p>
          <w:p w:rsidR="009304D9" w:rsidRPr="00D1550C" w:rsidRDefault="009304D9" w:rsidP="00BB4B03">
            <w:pPr>
              <w:jc w:val="center"/>
              <w:rPr>
                <w:rFonts w:cs="Calibri"/>
                <w:b/>
              </w:rPr>
            </w:pPr>
            <w:r w:rsidRPr="00D1550C">
              <w:rPr>
                <w:rFonts w:cs="Calibri"/>
                <w:b/>
              </w:rPr>
              <w:t>period</w:t>
            </w:r>
          </w:p>
        </w:tc>
        <w:tc>
          <w:tcPr>
            <w:tcW w:w="8221" w:type="dxa"/>
            <w:gridSpan w:val="5"/>
            <w:shd w:val="clear" w:color="auto" w:fill="BDD6EE" w:themeFill="accent1" w:themeFillTint="66"/>
            <w:noWrap/>
            <w:vAlign w:val="center"/>
            <w:hideMark/>
          </w:tcPr>
          <w:p w:rsidR="009304D9" w:rsidRPr="00D1550C" w:rsidRDefault="009304D9" w:rsidP="00BB4B03">
            <w:pPr>
              <w:jc w:val="center"/>
              <w:rPr>
                <w:rFonts w:cs="Calibri"/>
                <w:b/>
              </w:rPr>
            </w:pPr>
            <w:r w:rsidRPr="00D1550C">
              <w:rPr>
                <w:rFonts w:cs="Calibri"/>
                <w:b/>
              </w:rPr>
              <w:t>Dynamics during the period</w:t>
            </w:r>
          </w:p>
        </w:tc>
        <w:tc>
          <w:tcPr>
            <w:tcW w:w="1701" w:type="dxa"/>
            <w:shd w:val="clear" w:color="auto" w:fill="BDD6EE" w:themeFill="accent1" w:themeFillTint="66"/>
            <w:vAlign w:val="center"/>
            <w:hideMark/>
          </w:tcPr>
          <w:p w:rsidR="009304D9" w:rsidRPr="00D1550C" w:rsidRDefault="009304D9" w:rsidP="00BB4B03">
            <w:pPr>
              <w:jc w:val="center"/>
              <w:rPr>
                <w:rFonts w:cs="Calibri"/>
                <w:b/>
              </w:rPr>
            </w:pPr>
            <w:r w:rsidRPr="00D1550C">
              <w:rPr>
                <w:rFonts w:cs="Calibri"/>
                <w:b/>
              </w:rPr>
              <w:t>End of period</w:t>
            </w:r>
          </w:p>
        </w:tc>
      </w:tr>
      <w:tr w:rsidR="0046749D" w:rsidRPr="00D1550C" w:rsidTr="00832C1D">
        <w:trPr>
          <w:trHeight w:val="510"/>
        </w:trPr>
        <w:tc>
          <w:tcPr>
            <w:tcW w:w="3227" w:type="dxa"/>
            <w:vMerge/>
            <w:shd w:val="clear" w:color="auto" w:fill="BDD6EE" w:themeFill="accent1" w:themeFillTint="66"/>
            <w:vAlign w:val="center"/>
            <w:hideMark/>
          </w:tcPr>
          <w:p w:rsidR="0046749D" w:rsidRPr="00D1550C" w:rsidRDefault="0046749D" w:rsidP="00BB4B03">
            <w:pPr>
              <w:rPr>
                <w:b/>
              </w:rPr>
            </w:pPr>
          </w:p>
        </w:tc>
        <w:tc>
          <w:tcPr>
            <w:tcW w:w="1843"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Actual debt</w:t>
            </w:r>
          </w:p>
        </w:tc>
        <w:tc>
          <w:tcPr>
            <w:tcW w:w="1559"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Receipts</w:t>
            </w:r>
          </w:p>
        </w:tc>
        <w:tc>
          <w:tcPr>
            <w:tcW w:w="1588"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Repayment of</w:t>
            </w:r>
          </w:p>
          <w:p w:rsidR="0046749D" w:rsidRPr="00D1550C" w:rsidRDefault="0046749D" w:rsidP="00BB4B03">
            <w:pPr>
              <w:jc w:val="center"/>
              <w:rPr>
                <w:rFonts w:cs="Calibri"/>
                <w:b/>
              </w:rPr>
            </w:pPr>
            <w:r w:rsidRPr="00D1550C">
              <w:rPr>
                <w:rFonts w:cs="Calibri"/>
                <w:b/>
              </w:rPr>
              <w:t>principal debt</w:t>
            </w:r>
          </w:p>
        </w:tc>
        <w:tc>
          <w:tcPr>
            <w:tcW w:w="1530"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 xml:space="preserve">Interest </w:t>
            </w:r>
          </w:p>
          <w:p w:rsidR="0046749D" w:rsidRPr="00D1550C" w:rsidRDefault="0046749D" w:rsidP="00BB4B03">
            <w:pPr>
              <w:jc w:val="center"/>
              <w:rPr>
                <w:rFonts w:cs="Calibri"/>
                <w:b/>
              </w:rPr>
            </w:pPr>
            <w:r w:rsidRPr="00D1550C">
              <w:rPr>
                <w:rFonts w:cs="Calibri"/>
                <w:b/>
              </w:rPr>
              <w:t>payments</w:t>
            </w:r>
          </w:p>
        </w:tc>
        <w:tc>
          <w:tcPr>
            <w:tcW w:w="1843"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Rescheduled</w:t>
            </w:r>
          </w:p>
          <w:p w:rsidR="0046749D" w:rsidRPr="00D1550C" w:rsidRDefault="0046749D" w:rsidP="00BB4B03">
            <w:pPr>
              <w:jc w:val="center"/>
              <w:rPr>
                <w:rFonts w:cs="Calibri"/>
                <w:b/>
              </w:rPr>
            </w:pPr>
            <w:r w:rsidRPr="00D1550C">
              <w:rPr>
                <w:rFonts w:cs="Calibri"/>
                <w:b/>
              </w:rPr>
              <w:t xml:space="preserve">principal debt </w:t>
            </w:r>
          </w:p>
          <w:p w:rsidR="0046749D" w:rsidRPr="00D1550C" w:rsidRDefault="0046749D" w:rsidP="00BB4B0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Rescheduled</w:t>
            </w:r>
          </w:p>
          <w:p w:rsidR="0046749D" w:rsidRPr="00D1550C" w:rsidRDefault="0046749D" w:rsidP="00BB4B03">
            <w:pPr>
              <w:jc w:val="center"/>
              <w:rPr>
                <w:rFonts w:cs="Calibri"/>
                <w:b/>
              </w:rPr>
            </w:pPr>
            <w:r w:rsidRPr="00D1550C">
              <w:rPr>
                <w:rFonts w:cs="Calibri"/>
                <w:b/>
              </w:rPr>
              <w:t xml:space="preserve">interest </w:t>
            </w:r>
          </w:p>
          <w:p w:rsidR="0046749D" w:rsidRPr="00D1550C" w:rsidRDefault="0046749D" w:rsidP="00BB4B0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Actual debt</w:t>
            </w:r>
          </w:p>
        </w:tc>
      </w:tr>
      <w:tr w:rsidR="009304D9" w:rsidRPr="00D1550C" w:rsidTr="004817AF">
        <w:trPr>
          <w:trHeight w:val="255"/>
        </w:trPr>
        <w:tc>
          <w:tcPr>
            <w:tcW w:w="3227" w:type="dxa"/>
            <w:shd w:val="clear" w:color="auto" w:fill="auto"/>
            <w:noWrap/>
            <w:vAlign w:val="center"/>
            <w:hideMark/>
          </w:tcPr>
          <w:p w:rsidR="009304D9" w:rsidRPr="00D1550C" w:rsidRDefault="009304D9" w:rsidP="00BB4B03">
            <w:pPr>
              <w:jc w:val="center"/>
            </w:pPr>
            <w:r w:rsidRPr="00D1550C">
              <w:t>1</w:t>
            </w:r>
          </w:p>
        </w:tc>
        <w:tc>
          <w:tcPr>
            <w:tcW w:w="1843" w:type="dxa"/>
            <w:shd w:val="clear" w:color="auto" w:fill="auto"/>
            <w:noWrap/>
            <w:vAlign w:val="center"/>
            <w:hideMark/>
          </w:tcPr>
          <w:p w:rsidR="009304D9" w:rsidRPr="00D1550C" w:rsidRDefault="009304D9" w:rsidP="00BB4B03">
            <w:pPr>
              <w:jc w:val="center"/>
            </w:pPr>
            <w:r w:rsidRPr="00D1550C">
              <w:t>2</w:t>
            </w:r>
          </w:p>
        </w:tc>
        <w:tc>
          <w:tcPr>
            <w:tcW w:w="1559" w:type="dxa"/>
            <w:shd w:val="clear" w:color="auto" w:fill="auto"/>
            <w:noWrap/>
            <w:vAlign w:val="center"/>
            <w:hideMark/>
          </w:tcPr>
          <w:p w:rsidR="009304D9" w:rsidRPr="00D1550C" w:rsidRDefault="009304D9" w:rsidP="00BB4B03">
            <w:pPr>
              <w:jc w:val="center"/>
            </w:pPr>
            <w:r w:rsidRPr="00D1550C">
              <w:t>3</w:t>
            </w:r>
          </w:p>
        </w:tc>
        <w:tc>
          <w:tcPr>
            <w:tcW w:w="1588" w:type="dxa"/>
            <w:shd w:val="clear" w:color="auto" w:fill="auto"/>
            <w:noWrap/>
            <w:vAlign w:val="center"/>
            <w:hideMark/>
          </w:tcPr>
          <w:p w:rsidR="009304D9" w:rsidRPr="00D1550C" w:rsidRDefault="009304D9" w:rsidP="00BB4B03">
            <w:pPr>
              <w:jc w:val="center"/>
            </w:pPr>
            <w:r w:rsidRPr="00D1550C">
              <w:t>4</w:t>
            </w:r>
          </w:p>
        </w:tc>
        <w:tc>
          <w:tcPr>
            <w:tcW w:w="1530" w:type="dxa"/>
            <w:shd w:val="clear" w:color="auto" w:fill="auto"/>
            <w:noWrap/>
            <w:vAlign w:val="center"/>
            <w:hideMark/>
          </w:tcPr>
          <w:p w:rsidR="009304D9" w:rsidRPr="00D1550C" w:rsidRDefault="009304D9" w:rsidP="00BB4B03">
            <w:pPr>
              <w:jc w:val="center"/>
            </w:pPr>
            <w:r w:rsidRPr="00D1550C">
              <w:t>5</w:t>
            </w:r>
          </w:p>
        </w:tc>
        <w:tc>
          <w:tcPr>
            <w:tcW w:w="1843" w:type="dxa"/>
            <w:shd w:val="clear" w:color="auto" w:fill="auto"/>
            <w:noWrap/>
            <w:vAlign w:val="center"/>
            <w:hideMark/>
          </w:tcPr>
          <w:p w:rsidR="009304D9" w:rsidRPr="00D1550C" w:rsidRDefault="009304D9" w:rsidP="00BB4B03">
            <w:pPr>
              <w:jc w:val="center"/>
            </w:pPr>
            <w:r w:rsidRPr="00D1550C">
              <w:t>6</w:t>
            </w:r>
          </w:p>
        </w:tc>
        <w:tc>
          <w:tcPr>
            <w:tcW w:w="1701" w:type="dxa"/>
            <w:shd w:val="clear" w:color="auto" w:fill="auto"/>
            <w:noWrap/>
            <w:vAlign w:val="center"/>
            <w:hideMark/>
          </w:tcPr>
          <w:p w:rsidR="009304D9" w:rsidRPr="00D1550C" w:rsidRDefault="009304D9" w:rsidP="00BB4B03">
            <w:pPr>
              <w:jc w:val="center"/>
            </w:pPr>
            <w:r w:rsidRPr="00D1550C">
              <w:t>7</w:t>
            </w:r>
          </w:p>
        </w:tc>
        <w:tc>
          <w:tcPr>
            <w:tcW w:w="1701" w:type="dxa"/>
            <w:shd w:val="clear" w:color="auto" w:fill="auto"/>
            <w:noWrap/>
            <w:vAlign w:val="center"/>
            <w:hideMark/>
          </w:tcPr>
          <w:p w:rsidR="009304D9" w:rsidRPr="00D1550C" w:rsidRDefault="009304D9" w:rsidP="00BB4B03">
            <w:pPr>
              <w:jc w:val="center"/>
            </w:pPr>
            <w:r w:rsidRPr="00D1550C">
              <w:t>8</w:t>
            </w:r>
          </w:p>
        </w:tc>
      </w:tr>
      <w:tr w:rsidR="00024C49" w:rsidRPr="00D1550C" w:rsidTr="00CD6E2A">
        <w:trPr>
          <w:trHeight w:val="589"/>
        </w:trPr>
        <w:tc>
          <w:tcPr>
            <w:tcW w:w="3227" w:type="dxa"/>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9 091,5</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2 202,5</w:t>
            </w:r>
          </w:p>
        </w:tc>
        <w:tc>
          <w:tcPr>
            <w:tcW w:w="1588"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1 406,3</w:t>
            </w:r>
          </w:p>
        </w:tc>
        <w:tc>
          <w:tcPr>
            <w:tcW w:w="15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187,9</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9 804,5</w:t>
            </w:r>
          </w:p>
        </w:tc>
      </w:tr>
      <w:tr w:rsidR="00024C49" w:rsidRPr="00D1550C" w:rsidTr="00CD6E2A">
        <w:trPr>
          <w:trHeight w:val="510"/>
        </w:trPr>
        <w:tc>
          <w:tcPr>
            <w:tcW w:w="3227" w:type="dxa"/>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923,1</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246,9</w:t>
            </w:r>
          </w:p>
        </w:tc>
        <w:tc>
          <w:tcPr>
            <w:tcW w:w="1588"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52,2</w:t>
            </w:r>
          </w:p>
        </w:tc>
        <w:tc>
          <w:tcPr>
            <w:tcW w:w="15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1,4</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1 105,2</w:t>
            </w:r>
          </w:p>
        </w:tc>
      </w:tr>
      <w:tr w:rsidR="00024C49" w:rsidRPr="00D1550C" w:rsidTr="00CD6E2A">
        <w:trPr>
          <w:trHeight w:val="510"/>
        </w:trPr>
        <w:tc>
          <w:tcPr>
            <w:tcW w:w="3227" w:type="dxa"/>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840,7</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266,3</w:t>
            </w:r>
          </w:p>
        </w:tc>
        <w:tc>
          <w:tcPr>
            <w:tcW w:w="1588"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74,4</w:t>
            </w:r>
          </w:p>
        </w:tc>
        <w:tc>
          <w:tcPr>
            <w:tcW w:w="15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11,3</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994,4</w:t>
            </w:r>
          </w:p>
        </w:tc>
      </w:tr>
      <w:tr w:rsidR="00024C49" w:rsidRPr="00D1550C" w:rsidTr="00CD6E2A">
        <w:trPr>
          <w:trHeight w:val="654"/>
        </w:trPr>
        <w:tc>
          <w:tcPr>
            <w:tcW w:w="3227" w:type="dxa"/>
            <w:shd w:val="clear" w:color="auto" w:fill="auto"/>
            <w:vAlign w:val="center"/>
            <w:hideMark/>
          </w:tcPr>
          <w:p w:rsidR="00024C49" w:rsidRPr="00D1550C" w:rsidRDefault="00024C49" w:rsidP="00024C49">
            <w:pPr>
              <w:rPr>
                <w:rFonts w:cs="Calibri"/>
              </w:rPr>
            </w:pPr>
            <w:r w:rsidRPr="00D1550C">
              <w:rPr>
                <w:rFonts w:cs="Calibri"/>
              </w:rPr>
              <w:t xml:space="preserve">Official sources </w:t>
            </w:r>
          </w:p>
          <w:p w:rsidR="00024C49" w:rsidRPr="00D1550C" w:rsidRDefault="00024C49" w:rsidP="00024C49">
            <w:pPr>
              <w:rPr>
                <w:rFonts w:cs="Calibri"/>
              </w:rPr>
            </w:pPr>
            <w:r w:rsidRPr="00D1550C">
              <w:rPr>
                <w:rFonts w:cs="Calibri"/>
              </w:rPr>
              <w:t>(Governments and international institutions)</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451,9</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71,5</w:t>
            </w:r>
          </w:p>
        </w:tc>
        <w:tc>
          <w:tcPr>
            <w:tcW w:w="1588"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91,4</w:t>
            </w:r>
          </w:p>
        </w:tc>
        <w:tc>
          <w:tcPr>
            <w:tcW w:w="15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13,9</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430,6</w:t>
            </w:r>
          </w:p>
        </w:tc>
      </w:tr>
      <w:tr w:rsidR="00024C49" w:rsidRPr="00D1550C" w:rsidTr="004817AF">
        <w:trPr>
          <w:trHeight w:val="654"/>
        </w:trPr>
        <w:tc>
          <w:tcPr>
            <w:tcW w:w="3227" w:type="dxa"/>
            <w:shd w:val="clear" w:color="auto" w:fill="auto"/>
            <w:vAlign w:val="center"/>
          </w:tcPr>
          <w:p w:rsidR="00024C49" w:rsidRPr="00D1550C" w:rsidRDefault="00024C49" w:rsidP="00024C49">
            <w:pPr>
              <w:rPr>
                <w:rFonts w:cs="Calibri"/>
              </w:rPr>
            </w:pPr>
            <w:r w:rsidRPr="00D1550C">
              <w:rPr>
                <w:rFonts w:cs="Calibri"/>
              </w:rPr>
              <w:t>International Bonds</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937,5</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375,0</w:t>
            </w:r>
          </w:p>
        </w:tc>
        <w:tc>
          <w:tcPr>
            <w:tcW w:w="1588"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5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1 337,9</w:t>
            </w:r>
          </w:p>
        </w:tc>
      </w:tr>
      <w:tr w:rsidR="00024C49" w:rsidRPr="00D1550C" w:rsidTr="00CC6304">
        <w:trPr>
          <w:trHeight w:val="515"/>
        </w:trPr>
        <w:tc>
          <w:tcPr>
            <w:tcW w:w="3227" w:type="dxa"/>
            <w:shd w:val="clear" w:color="auto" w:fill="BDD6EE" w:themeFill="accent1" w:themeFillTint="66"/>
            <w:noWrap/>
            <w:vAlign w:val="center"/>
            <w:hideMark/>
          </w:tcPr>
          <w:p w:rsidR="00024C49" w:rsidRPr="00D1550C" w:rsidRDefault="00024C49" w:rsidP="00024C49">
            <w:pPr>
              <w:jc w:val="center"/>
              <w:rPr>
                <w:rFonts w:cs="Calibri"/>
              </w:rPr>
            </w:pPr>
            <w:r w:rsidRPr="00D1550C">
              <w:rPr>
                <w:rFonts w:cs="Calibri"/>
              </w:rPr>
              <w:t>TOTAL</w:t>
            </w:r>
          </w:p>
        </w:tc>
        <w:tc>
          <w:tcPr>
            <w:tcW w:w="1843"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12 244,7</w:t>
            </w:r>
          </w:p>
        </w:tc>
        <w:tc>
          <w:tcPr>
            <w:tcW w:w="1559"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3 162,2</w:t>
            </w:r>
          </w:p>
        </w:tc>
        <w:tc>
          <w:tcPr>
            <w:tcW w:w="1588"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1 624,3</w:t>
            </w:r>
          </w:p>
        </w:tc>
        <w:tc>
          <w:tcPr>
            <w:tcW w:w="1530"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214,4</w:t>
            </w:r>
          </w:p>
        </w:tc>
        <w:tc>
          <w:tcPr>
            <w:tcW w:w="1843"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701"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701"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13 672,6</w:t>
            </w:r>
          </w:p>
        </w:tc>
      </w:tr>
    </w:tbl>
    <w:p w:rsidR="00BB4B03" w:rsidRPr="00D1550C" w:rsidRDefault="00BB4B03" w:rsidP="009304D9">
      <w:pPr>
        <w:jc w:val="right"/>
      </w:pPr>
    </w:p>
    <w:p w:rsidR="009304D9" w:rsidRPr="00D1550C" w:rsidRDefault="009304D9" w:rsidP="007F6743">
      <w:pPr>
        <w:ind w:right="196"/>
        <w:jc w:val="right"/>
        <w:rPr>
          <w:i/>
          <w:sz w:val="22"/>
          <w:szCs w:val="22"/>
        </w:rPr>
      </w:pPr>
      <w:r w:rsidRPr="00D1550C">
        <w:br w:type="page"/>
      </w:r>
      <w:r w:rsidR="00A11907" w:rsidRPr="00D1550C">
        <w:rPr>
          <w:i/>
          <w:sz w:val="22"/>
          <w:szCs w:val="22"/>
        </w:rPr>
        <w:lastRenderedPageBreak/>
        <w:t>Addenda 1</w:t>
      </w:r>
      <w:r w:rsidR="007F6743" w:rsidRPr="00D1550C">
        <w:rPr>
          <w:i/>
          <w:sz w:val="22"/>
          <w:szCs w:val="22"/>
        </w:rPr>
        <w:t>4</w:t>
      </w:r>
      <w:r w:rsidR="00A11907" w:rsidRPr="00D1550C">
        <w:rPr>
          <w:i/>
          <w:sz w:val="22"/>
          <w:szCs w:val="22"/>
        </w:rPr>
        <w:t>.2</w:t>
      </w:r>
    </w:p>
    <w:p w:rsidR="009304D9" w:rsidRPr="00D1550C" w:rsidRDefault="009304D9" w:rsidP="00B4328F">
      <w:pPr>
        <w:pStyle w:val="1"/>
        <w:spacing w:before="120"/>
        <w:ind w:left="0"/>
        <w:jc w:val="center"/>
        <w:rPr>
          <w:rFonts w:ascii="Calibri" w:hAnsi="Calibri"/>
          <w:sz w:val="26"/>
          <w:szCs w:val="26"/>
          <w:lang w:val="en-US"/>
        </w:rPr>
      </w:pPr>
      <w:bookmarkStart w:id="43" w:name="_Toc83291145"/>
      <w:r w:rsidRPr="00D1550C">
        <w:rPr>
          <w:rFonts w:ascii="Calibri" w:hAnsi="Calibri" w:cs="Calibri"/>
          <w:sz w:val="26"/>
          <w:szCs w:val="26"/>
          <w:lang w:val="en-US"/>
        </w:rPr>
        <w:t>FORECAST OF FUTURE PAYMENTS OF PRINCIPAL DEBT AND INTEREST</w:t>
      </w:r>
      <w:bookmarkEnd w:id="43"/>
    </w:p>
    <w:p w:rsidR="009304D9" w:rsidRPr="00D1550C" w:rsidRDefault="009304D9" w:rsidP="009304D9">
      <w:pPr>
        <w:jc w:val="center"/>
      </w:pPr>
      <w:r w:rsidRPr="00D1550C">
        <w:rPr>
          <w:rFonts w:cs="Calibri"/>
          <w:i/>
        </w:rPr>
        <w:t>(Type of borrower: all borrowers)</w:t>
      </w:r>
    </w:p>
    <w:tbl>
      <w:tblPr>
        <w:tblW w:w="4906" w:type="pct"/>
        <w:tblInd w:w="28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5059"/>
        <w:gridCol w:w="953"/>
        <w:gridCol w:w="953"/>
        <w:gridCol w:w="953"/>
        <w:gridCol w:w="953"/>
        <w:gridCol w:w="953"/>
        <w:gridCol w:w="953"/>
        <w:gridCol w:w="953"/>
        <w:gridCol w:w="953"/>
        <w:gridCol w:w="953"/>
        <w:gridCol w:w="1160"/>
      </w:tblGrid>
      <w:tr w:rsidR="001D7FBD" w:rsidRPr="00D1550C" w:rsidTr="001D7FBD">
        <w:trPr>
          <w:trHeight w:val="80"/>
        </w:trPr>
        <w:tc>
          <w:tcPr>
            <w:tcW w:w="1710" w:type="pct"/>
            <w:vMerge w:val="restart"/>
            <w:tcBorders>
              <w:top w:val="nil"/>
              <w:left w:val="nil"/>
              <w:bottom w:val="nil"/>
              <w:right w:val="nil"/>
            </w:tcBorders>
            <w:shd w:val="clear" w:color="auto" w:fill="auto"/>
            <w:vAlign w:val="bottom"/>
            <w:hideMark/>
          </w:tcPr>
          <w:p w:rsidR="001D7FBD" w:rsidRPr="00D1550C" w:rsidRDefault="001D7FBD" w:rsidP="006F7BE3">
            <w:pPr>
              <w:rPr>
                <w:rFonts w:cs="Calibri"/>
                <w:b/>
              </w:rPr>
            </w:pPr>
            <w:r w:rsidRPr="00D1550C">
              <w:rPr>
                <w:rFonts w:cs="Calibri"/>
                <w:b/>
              </w:rPr>
              <w:t>Principal debt</w:t>
            </w:r>
          </w:p>
        </w:tc>
        <w:tc>
          <w:tcPr>
            <w:tcW w:w="322" w:type="pct"/>
            <w:tcBorders>
              <w:top w:val="nil"/>
              <w:left w:val="nil"/>
              <w:bottom w:val="nil"/>
              <w:right w:val="nil"/>
            </w:tcBorders>
            <w:shd w:val="clear" w:color="auto" w:fill="auto"/>
            <w:noWrap/>
            <w:vAlign w:val="bottom"/>
            <w:hideMark/>
          </w:tcPr>
          <w:p w:rsidR="001D7FBD" w:rsidRPr="00D1550C" w:rsidRDefault="001D7FBD" w:rsidP="006F7BE3">
            <w:pPr>
              <w:jc w:val="cente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nil"/>
              <w:right w:val="nil"/>
            </w:tcBorders>
          </w:tcPr>
          <w:p w:rsidR="001D7FBD" w:rsidRPr="00D1550C" w:rsidRDefault="001D7FBD" w:rsidP="006F7BE3">
            <w:pPr>
              <w:rPr>
                <w:b/>
              </w:rPr>
            </w:pPr>
          </w:p>
        </w:tc>
        <w:tc>
          <w:tcPr>
            <w:tcW w:w="32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92" w:type="pct"/>
            <w:tcBorders>
              <w:top w:val="nil"/>
              <w:left w:val="nil"/>
              <w:bottom w:val="nil"/>
              <w:right w:val="nil"/>
            </w:tcBorders>
            <w:shd w:val="clear" w:color="auto" w:fill="auto"/>
            <w:noWrap/>
            <w:vAlign w:val="bottom"/>
            <w:hideMark/>
          </w:tcPr>
          <w:p w:rsidR="001D7FBD" w:rsidRPr="00D1550C" w:rsidRDefault="001D7FBD" w:rsidP="006F7BE3">
            <w:pPr>
              <w:rPr>
                <w:b/>
              </w:rPr>
            </w:pPr>
          </w:p>
        </w:tc>
      </w:tr>
      <w:tr w:rsidR="001D7FBD" w:rsidRPr="00D1550C" w:rsidTr="001D7FBD">
        <w:trPr>
          <w:trHeight w:val="74"/>
        </w:trPr>
        <w:tc>
          <w:tcPr>
            <w:tcW w:w="1710" w:type="pct"/>
            <w:vMerge/>
            <w:tcBorders>
              <w:top w:val="nil"/>
              <w:left w:val="nil"/>
              <w:bottom w:val="single" w:sz="4" w:space="0" w:color="5B9BD5"/>
              <w:right w:val="nil"/>
            </w:tcBorders>
            <w:vAlign w:val="center"/>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22" w:type="pct"/>
            <w:tcBorders>
              <w:top w:val="nil"/>
              <w:left w:val="nil"/>
              <w:bottom w:val="single" w:sz="4" w:space="0" w:color="5B9BD5"/>
              <w:right w:val="nil"/>
            </w:tcBorders>
          </w:tcPr>
          <w:p w:rsidR="001D7FBD" w:rsidRPr="00D1550C" w:rsidRDefault="001D7FBD" w:rsidP="006F7BE3">
            <w:pPr>
              <w:jc w:val="right"/>
              <w:rPr>
                <w:i/>
                <w:sz w:val="20"/>
                <w:szCs w:val="20"/>
              </w:rPr>
            </w:pPr>
          </w:p>
        </w:tc>
        <w:tc>
          <w:tcPr>
            <w:tcW w:w="714" w:type="pct"/>
            <w:gridSpan w:val="2"/>
            <w:tcBorders>
              <w:top w:val="nil"/>
              <w:left w:val="nil"/>
              <w:bottom w:val="single" w:sz="4" w:space="0" w:color="5B9BD5"/>
              <w:right w:val="nil"/>
            </w:tcBorders>
            <w:shd w:val="clear" w:color="auto" w:fill="auto"/>
            <w:noWrap/>
            <w:vAlign w:val="bottom"/>
            <w:hideMark/>
          </w:tcPr>
          <w:p w:rsidR="001D7FBD" w:rsidRPr="00D1550C" w:rsidRDefault="001D7FBD" w:rsidP="006F7BE3">
            <w:pPr>
              <w:jc w:val="right"/>
              <w:rPr>
                <w:b/>
                <w:sz w:val="20"/>
                <w:szCs w:val="20"/>
              </w:rPr>
            </w:pPr>
            <w:r w:rsidRPr="00D1550C">
              <w:rPr>
                <w:i/>
                <w:sz w:val="20"/>
                <w:szCs w:val="20"/>
              </w:rPr>
              <w:t>(mln. USD)</w:t>
            </w:r>
          </w:p>
        </w:tc>
      </w:tr>
      <w:tr w:rsidR="001D7FBD" w:rsidRPr="00D1550C" w:rsidTr="001D7FBD">
        <w:trPr>
          <w:trHeight w:val="255"/>
        </w:trPr>
        <w:tc>
          <w:tcPr>
            <w:tcW w:w="1710"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cs="Calibri"/>
                <w:b/>
              </w:rPr>
            </w:pPr>
            <w:r w:rsidRPr="00D1550C">
              <w:rPr>
                <w:rFonts w:cs="Calibri"/>
                <w:b/>
              </w:rPr>
              <w:t>Type of creditor</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2021</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2022</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2023</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2024</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2025</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2026</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2027</w:t>
            </w:r>
          </w:p>
        </w:tc>
        <w:tc>
          <w:tcPr>
            <w:tcW w:w="322" w:type="pct"/>
            <w:tcBorders>
              <w:top w:val="single" w:sz="4" w:space="0" w:color="5B9BD5"/>
            </w:tcBorders>
            <w:shd w:val="clear" w:color="auto" w:fill="BDD6EE" w:themeFill="accent1" w:themeFillTint="66"/>
            <w:vAlign w:val="center"/>
          </w:tcPr>
          <w:p w:rsidR="001D7FBD" w:rsidRPr="00D1550C" w:rsidRDefault="001D7FBD" w:rsidP="007F6743">
            <w:pPr>
              <w:jc w:val="center"/>
              <w:rPr>
                <w:rFonts w:cs="Calibri"/>
                <w:b/>
              </w:rPr>
            </w:pPr>
            <w:r w:rsidRPr="00D1550C">
              <w:rPr>
                <w:rFonts w:cs="Calibri"/>
                <w:b/>
              </w:rPr>
              <w:t>2028</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1D7FBD">
            <w:pPr>
              <w:jc w:val="center"/>
              <w:rPr>
                <w:b/>
              </w:rPr>
            </w:pPr>
            <w:r w:rsidRPr="00D1550C">
              <w:rPr>
                <w:rFonts w:cs="Calibri"/>
                <w:b/>
              </w:rPr>
              <w:t>after 2028</w:t>
            </w:r>
          </w:p>
        </w:tc>
        <w:tc>
          <w:tcPr>
            <w:tcW w:w="392" w:type="pct"/>
            <w:tcBorders>
              <w:top w:val="single" w:sz="4" w:space="0" w:color="5B9BD5"/>
            </w:tcBorders>
            <w:shd w:val="clear" w:color="auto" w:fill="BDD6EE" w:themeFill="accent1" w:themeFillTint="66"/>
            <w:vAlign w:val="center"/>
            <w:hideMark/>
          </w:tcPr>
          <w:p w:rsidR="001D7FBD" w:rsidRPr="00D1550C" w:rsidRDefault="001D7FBD" w:rsidP="007F6743">
            <w:pPr>
              <w:jc w:val="center"/>
              <w:rPr>
                <w:b/>
              </w:rPr>
            </w:pPr>
            <w:r w:rsidRPr="00D1550C">
              <w:rPr>
                <w:b/>
              </w:rPr>
              <w:t>TOTAL</w:t>
            </w:r>
          </w:p>
        </w:tc>
      </w:tr>
      <w:tr w:rsidR="00024C49" w:rsidRPr="00D1550C" w:rsidTr="00760DB9">
        <w:trPr>
          <w:trHeight w:val="569"/>
        </w:trPr>
        <w:tc>
          <w:tcPr>
            <w:tcW w:w="1710" w:type="pct"/>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2 319,0</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2 805,1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1 509,3</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1 171,2</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627,8</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655,2</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281,6</w:t>
            </w:r>
          </w:p>
        </w:tc>
        <w:tc>
          <w:tcPr>
            <w:tcW w:w="322" w:type="pct"/>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268,1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167,3</w:t>
            </w:r>
          </w:p>
        </w:tc>
        <w:tc>
          <w:tcPr>
            <w:tcW w:w="392" w:type="pct"/>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9 804,5</w:t>
            </w:r>
          </w:p>
        </w:tc>
      </w:tr>
      <w:tr w:rsidR="00024C49" w:rsidRPr="00D1550C" w:rsidTr="00760DB9">
        <w:trPr>
          <w:trHeight w:val="510"/>
        </w:trPr>
        <w:tc>
          <w:tcPr>
            <w:tcW w:w="1710" w:type="pct"/>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344,4</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446,1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141,2</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38,6</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24,1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5,2</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20,2</w:t>
            </w:r>
          </w:p>
        </w:tc>
        <w:tc>
          <w:tcPr>
            <w:tcW w:w="322" w:type="pct"/>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6,8</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78,7</w:t>
            </w:r>
          </w:p>
        </w:tc>
        <w:tc>
          <w:tcPr>
            <w:tcW w:w="392" w:type="pct"/>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1 105,2</w:t>
            </w:r>
          </w:p>
        </w:tc>
      </w:tr>
      <w:tr w:rsidR="00024C49" w:rsidRPr="00D1550C" w:rsidTr="00760DB9">
        <w:trPr>
          <w:trHeight w:val="510"/>
        </w:trPr>
        <w:tc>
          <w:tcPr>
            <w:tcW w:w="1710" w:type="pct"/>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295,2</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323,6</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193,3</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64,5</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24,2</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45,9</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7,2</w:t>
            </w:r>
          </w:p>
        </w:tc>
        <w:tc>
          <w:tcPr>
            <w:tcW w:w="322" w:type="pct"/>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15,8</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24,7</w:t>
            </w:r>
          </w:p>
        </w:tc>
        <w:tc>
          <w:tcPr>
            <w:tcW w:w="392" w:type="pct"/>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994,4</w:t>
            </w:r>
          </w:p>
        </w:tc>
      </w:tr>
      <w:tr w:rsidR="00024C49" w:rsidRPr="00D1550C" w:rsidTr="00760DB9">
        <w:trPr>
          <w:trHeight w:val="507"/>
        </w:trPr>
        <w:tc>
          <w:tcPr>
            <w:tcW w:w="1710" w:type="pct"/>
            <w:shd w:val="clear" w:color="auto" w:fill="auto"/>
            <w:vAlign w:val="center"/>
            <w:hideMark/>
          </w:tcPr>
          <w:p w:rsidR="00024C49" w:rsidRPr="00D1550C" w:rsidRDefault="00024C49" w:rsidP="00024C49">
            <w:pPr>
              <w:rPr>
                <w:rFonts w:cs="Calibri"/>
              </w:rPr>
            </w:pPr>
            <w:r w:rsidRPr="00D1550C">
              <w:rPr>
                <w:rFonts w:cs="Calibri"/>
              </w:rPr>
              <w:t>Official sources (Governments and international institutions)</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120,0</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117,5</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129,6</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30,8</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17,1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5,6</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3,5</w:t>
            </w:r>
          </w:p>
        </w:tc>
        <w:tc>
          <w:tcPr>
            <w:tcW w:w="322" w:type="pct"/>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6,5</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92" w:type="pct"/>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430,6</w:t>
            </w:r>
          </w:p>
        </w:tc>
      </w:tr>
      <w:tr w:rsidR="00024C49" w:rsidRPr="00D1550C" w:rsidTr="00760DB9">
        <w:trPr>
          <w:trHeight w:val="507"/>
        </w:trPr>
        <w:tc>
          <w:tcPr>
            <w:tcW w:w="1710" w:type="pct"/>
            <w:tcBorders>
              <w:bottom w:val="single" w:sz="4" w:space="0" w:color="5B9BD5"/>
            </w:tcBorders>
            <w:shd w:val="clear" w:color="auto" w:fill="auto"/>
            <w:vAlign w:val="center"/>
          </w:tcPr>
          <w:p w:rsidR="00024C49" w:rsidRPr="00D1550C" w:rsidRDefault="00024C49" w:rsidP="00024C49">
            <w:pPr>
              <w:rPr>
                <w:rFonts w:cs="Calibri"/>
              </w:rPr>
            </w:pPr>
            <w:r w:rsidRPr="00D1550C">
              <w:rPr>
                <w:rFonts w:cs="Calibri"/>
              </w:rPr>
              <w:t>International Bonds</w:t>
            </w:r>
          </w:p>
        </w:tc>
        <w:tc>
          <w:tcPr>
            <w:tcW w:w="322" w:type="pct"/>
            <w:tcBorders>
              <w:bottom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tcBorders>
              <w:bottom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tcBorders>
              <w:bottom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tcBorders>
              <w:bottom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374,0</w:t>
            </w:r>
          </w:p>
        </w:tc>
        <w:tc>
          <w:tcPr>
            <w:tcW w:w="322" w:type="pct"/>
            <w:tcBorders>
              <w:bottom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600,0</w:t>
            </w:r>
          </w:p>
        </w:tc>
        <w:tc>
          <w:tcPr>
            <w:tcW w:w="322" w:type="pct"/>
            <w:tcBorders>
              <w:bottom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300,0</w:t>
            </w:r>
          </w:p>
        </w:tc>
        <w:tc>
          <w:tcPr>
            <w:tcW w:w="322" w:type="pct"/>
            <w:tcBorders>
              <w:bottom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tcBorders>
              <w:bottom w:val="single" w:sz="4" w:space="0" w:color="5B9BD5"/>
            </w:tcBorders>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tcBorders>
              <w:bottom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92" w:type="pct"/>
            <w:tcBorders>
              <w:bottom w:val="single" w:sz="4" w:space="0" w:color="5B9BD5"/>
            </w:tcBorders>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1 274,0</w:t>
            </w:r>
          </w:p>
        </w:tc>
      </w:tr>
      <w:tr w:rsidR="00024C49" w:rsidRPr="00D1550C" w:rsidTr="00760DB9">
        <w:trPr>
          <w:trHeight w:val="255"/>
        </w:trPr>
        <w:tc>
          <w:tcPr>
            <w:tcW w:w="1710" w:type="pct"/>
            <w:tcBorders>
              <w:bottom w:val="single" w:sz="4" w:space="0" w:color="5B9BD5"/>
            </w:tcBorders>
            <w:shd w:val="clear" w:color="auto" w:fill="BDD6EE" w:themeFill="accent1" w:themeFillTint="66"/>
            <w:noWrap/>
            <w:vAlign w:val="center"/>
            <w:hideMark/>
          </w:tcPr>
          <w:p w:rsidR="00024C49" w:rsidRPr="00D1550C" w:rsidRDefault="00024C49" w:rsidP="00024C49">
            <w:pPr>
              <w:jc w:val="center"/>
              <w:rPr>
                <w:rFonts w:cs="Calibri"/>
              </w:rPr>
            </w:pPr>
            <w:r w:rsidRPr="00D1550C">
              <w:rPr>
                <w:rFonts w:cs="Calibri"/>
              </w:rPr>
              <w:t>TOTAL</w:t>
            </w:r>
          </w:p>
        </w:tc>
        <w:tc>
          <w:tcPr>
            <w:tcW w:w="322" w:type="pct"/>
            <w:tcBorders>
              <w:bottom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3 078,6</w:t>
            </w:r>
          </w:p>
        </w:tc>
        <w:tc>
          <w:tcPr>
            <w:tcW w:w="322" w:type="pct"/>
            <w:tcBorders>
              <w:bottom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3 692,3</w:t>
            </w:r>
          </w:p>
        </w:tc>
        <w:tc>
          <w:tcPr>
            <w:tcW w:w="322" w:type="pct"/>
            <w:tcBorders>
              <w:bottom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1 973,4</w:t>
            </w:r>
          </w:p>
        </w:tc>
        <w:tc>
          <w:tcPr>
            <w:tcW w:w="322" w:type="pct"/>
            <w:tcBorders>
              <w:bottom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1 679,2</w:t>
            </w:r>
          </w:p>
        </w:tc>
        <w:tc>
          <w:tcPr>
            <w:tcW w:w="322" w:type="pct"/>
            <w:tcBorders>
              <w:bottom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1 293,1</w:t>
            </w:r>
          </w:p>
        </w:tc>
        <w:tc>
          <w:tcPr>
            <w:tcW w:w="322" w:type="pct"/>
            <w:tcBorders>
              <w:bottom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1 011,8</w:t>
            </w:r>
          </w:p>
        </w:tc>
        <w:tc>
          <w:tcPr>
            <w:tcW w:w="322" w:type="pct"/>
            <w:tcBorders>
              <w:bottom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312,5</w:t>
            </w:r>
          </w:p>
        </w:tc>
        <w:tc>
          <w:tcPr>
            <w:tcW w:w="322" w:type="pct"/>
            <w:tcBorders>
              <w:bottom w:val="single" w:sz="4" w:space="0" w:color="5B9BD5"/>
            </w:tcBorders>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297,2</w:t>
            </w:r>
          </w:p>
        </w:tc>
        <w:tc>
          <w:tcPr>
            <w:tcW w:w="322" w:type="pct"/>
            <w:tcBorders>
              <w:bottom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270,6</w:t>
            </w:r>
          </w:p>
        </w:tc>
        <w:tc>
          <w:tcPr>
            <w:tcW w:w="392" w:type="pct"/>
            <w:tcBorders>
              <w:bottom w:val="single" w:sz="4" w:space="0" w:color="5B9BD5"/>
            </w:tcBorders>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13 608,7</w:t>
            </w:r>
          </w:p>
        </w:tc>
      </w:tr>
      <w:tr w:rsidR="001D7FBD" w:rsidRPr="00D1550C" w:rsidTr="001D7FBD">
        <w:trPr>
          <w:trHeight w:val="80"/>
        </w:trPr>
        <w:tc>
          <w:tcPr>
            <w:tcW w:w="1710" w:type="pct"/>
            <w:vMerge w:val="restart"/>
            <w:tcBorders>
              <w:top w:val="single" w:sz="4" w:space="0" w:color="5B9BD5"/>
              <w:left w:val="nil"/>
              <w:bottom w:val="nil"/>
              <w:right w:val="nil"/>
            </w:tcBorders>
            <w:shd w:val="clear" w:color="auto" w:fill="auto"/>
            <w:vAlign w:val="bottom"/>
            <w:hideMark/>
          </w:tcPr>
          <w:p w:rsidR="001D7FBD" w:rsidRPr="00D1550C" w:rsidRDefault="001D7FBD" w:rsidP="006F7BE3">
            <w:pPr>
              <w:rPr>
                <w:b/>
              </w:rPr>
            </w:pPr>
            <w:r w:rsidRPr="00D1550C">
              <w:rPr>
                <w:rFonts w:cs="Calibri"/>
                <w:b/>
              </w:rPr>
              <w:t>Interest</w:t>
            </w: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22" w:type="pct"/>
            <w:tcBorders>
              <w:top w:val="single" w:sz="4" w:space="0" w:color="5B9BD5"/>
              <w:left w:val="nil"/>
              <w:bottom w:val="nil"/>
              <w:right w:val="nil"/>
            </w:tcBorders>
          </w:tcPr>
          <w:p w:rsidR="001D7FBD" w:rsidRPr="00D1550C" w:rsidRDefault="001D7FBD" w:rsidP="006F7BE3">
            <w:pPr>
              <w:jc w:val="center"/>
            </w:pPr>
          </w:p>
        </w:tc>
        <w:tc>
          <w:tcPr>
            <w:tcW w:w="32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c>
          <w:tcPr>
            <w:tcW w:w="392" w:type="pct"/>
            <w:tcBorders>
              <w:top w:val="single" w:sz="4" w:space="0" w:color="5B9BD5"/>
              <w:left w:val="nil"/>
              <w:bottom w:val="nil"/>
              <w:right w:val="nil"/>
            </w:tcBorders>
            <w:shd w:val="clear" w:color="auto" w:fill="auto"/>
            <w:noWrap/>
            <w:vAlign w:val="center"/>
            <w:hideMark/>
          </w:tcPr>
          <w:p w:rsidR="001D7FBD" w:rsidRPr="00D1550C" w:rsidRDefault="001D7FBD" w:rsidP="006F7BE3">
            <w:pPr>
              <w:jc w:val="center"/>
            </w:pPr>
          </w:p>
        </w:tc>
      </w:tr>
      <w:tr w:rsidR="001D7FBD" w:rsidRPr="00D1550C" w:rsidTr="001D7FBD">
        <w:trPr>
          <w:trHeight w:val="70"/>
        </w:trPr>
        <w:tc>
          <w:tcPr>
            <w:tcW w:w="1710" w:type="pct"/>
            <w:vMerge/>
            <w:tcBorders>
              <w:top w:val="nil"/>
              <w:left w:val="nil"/>
              <w:bottom w:val="single" w:sz="4" w:space="0" w:color="5B9BD5"/>
              <w:right w:val="nil"/>
            </w:tcBorders>
            <w:vAlign w:val="center"/>
            <w:hideMark/>
          </w:tcPr>
          <w:p w:rsidR="001D7FBD" w:rsidRPr="00D1550C" w:rsidRDefault="001D7FBD" w:rsidP="006F7BE3"/>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shd w:val="clear" w:color="auto" w:fill="auto"/>
            <w:noWrap/>
            <w:vAlign w:val="bottom"/>
            <w:hideMark/>
          </w:tcPr>
          <w:p w:rsidR="001D7FBD" w:rsidRPr="00D1550C" w:rsidRDefault="001D7FBD" w:rsidP="006F7BE3">
            <w:pPr>
              <w:jc w:val="center"/>
            </w:pPr>
          </w:p>
        </w:tc>
        <w:tc>
          <w:tcPr>
            <w:tcW w:w="322" w:type="pct"/>
            <w:tcBorders>
              <w:top w:val="nil"/>
              <w:left w:val="nil"/>
              <w:bottom w:val="single" w:sz="4" w:space="0" w:color="5B9BD5"/>
              <w:right w:val="nil"/>
            </w:tcBorders>
          </w:tcPr>
          <w:p w:rsidR="001D7FBD" w:rsidRPr="00D1550C" w:rsidRDefault="001D7FBD" w:rsidP="006F7BE3">
            <w:pPr>
              <w:jc w:val="right"/>
              <w:rPr>
                <w:i/>
                <w:sz w:val="20"/>
                <w:szCs w:val="20"/>
              </w:rPr>
            </w:pPr>
          </w:p>
        </w:tc>
        <w:tc>
          <w:tcPr>
            <w:tcW w:w="714" w:type="pct"/>
            <w:gridSpan w:val="2"/>
            <w:tcBorders>
              <w:top w:val="nil"/>
              <w:left w:val="nil"/>
              <w:bottom w:val="single" w:sz="4" w:space="0" w:color="5B9BD5"/>
              <w:right w:val="nil"/>
            </w:tcBorders>
            <w:shd w:val="clear" w:color="auto" w:fill="auto"/>
            <w:noWrap/>
            <w:vAlign w:val="bottom"/>
            <w:hideMark/>
          </w:tcPr>
          <w:p w:rsidR="001D7FBD" w:rsidRPr="00D1550C" w:rsidRDefault="001D7FBD" w:rsidP="006F7BE3">
            <w:pPr>
              <w:jc w:val="right"/>
              <w:rPr>
                <w:b/>
                <w:sz w:val="20"/>
                <w:szCs w:val="20"/>
              </w:rPr>
            </w:pPr>
            <w:r w:rsidRPr="00D1550C">
              <w:rPr>
                <w:i/>
                <w:sz w:val="20"/>
                <w:szCs w:val="20"/>
              </w:rPr>
              <w:t>(mln. USD)</w:t>
            </w:r>
          </w:p>
        </w:tc>
      </w:tr>
      <w:tr w:rsidR="001D7FBD" w:rsidRPr="00D1550C" w:rsidTr="001D7FBD">
        <w:trPr>
          <w:trHeight w:val="255"/>
        </w:trPr>
        <w:tc>
          <w:tcPr>
            <w:tcW w:w="1710"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cs="Calibri"/>
                <w:b/>
              </w:rPr>
            </w:pPr>
            <w:r w:rsidRPr="00D1550C">
              <w:rPr>
                <w:rFonts w:cs="Calibri"/>
                <w:b/>
              </w:rPr>
              <w:t>Type of creditor</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2021</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2022</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2023</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2024</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2025</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2026</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7F6743">
            <w:pPr>
              <w:jc w:val="center"/>
              <w:rPr>
                <w:rFonts w:asciiTheme="minorHAnsi" w:hAnsiTheme="minorHAnsi" w:cstheme="minorHAnsi"/>
                <w:b/>
              </w:rPr>
            </w:pPr>
            <w:r w:rsidRPr="00D1550C">
              <w:rPr>
                <w:rFonts w:asciiTheme="minorHAnsi" w:hAnsiTheme="minorHAnsi" w:cstheme="minorHAnsi"/>
                <w:b/>
              </w:rPr>
              <w:t>2027</w:t>
            </w:r>
          </w:p>
        </w:tc>
        <w:tc>
          <w:tcPr>
            <w:tcW w:w="322" w:type="pct"/>
            <w:tcBorders>
              <w:top w:val="single" w:sz="4" w:space="0" w:color="5B9BD5"/>
            </w:tcBorders>
            <w:shd w:val="clear" w:color="auto" w:fill="BDD6EE" w:themeFill="accent1" w:themeFillTint="66"/>
            <w:vAlign w:val="center"/>
          </w:tcPr>
          <w:p w:rsidR="001D7FBD" w:rsidRPr="00D1550C" w:rsidRDefault="001D7FBD" w:rsidP="007F6743">
            <w:pPr>
              <w:jc w:val="center"/>
              <w:rPr>
                <w:rFonts w:cs="Calibri"/>
                <w:b/>
              </w:rPr>
            </w:pPr>
            <w:r w:rsidRPr="00D1550C">
              <w:rPr>
                <w:rFonts w:cs="Calibri"/>
                <w:b/>
              </w:rPr>
              <w:t>2028</w:t>
            </w:r>
          </w:p>
        </w:tc>
        <w:tc>
          <w:tcPr>
            <w:tcW w:w="322" w:type="pct"/>
            <w:tcBorders>
              <w:top w:val="single" w:sz="4" w:space="0" w:color="5B9BD5"/>
            </w:tcBorders>
            <w:shd w:val="clear" w:color="auto" w:fill="BDD6EE" w:themeFill="accent1" w:themeFillTint="66"/>
            <w:noWrap/>
            <w:vAlign w:val="center"/>
            <w:hideMark/>
          </w:tcPr>
          <w:p w:rsidR="001D7FBD" w:rsidRPr="00D1550C" w:rsidRDefault="001D7FBD" w:rsidP="001D7FBD">
            <w:pPr>
              <w:jc w:val="center"/>
              <w:rPr>
                <w:b/>
              </w:rPr>
            </w:pPr>
            <w:r w:rsidRPr="00D1550C">
              <w:rPr>
                <w:rFonts w:cs="Calibri"/>
                <w:b/>
              </w:rPr>
              <w:t>after 2028</w:t>
            </w:r>
          </w:p>
        </w:tc>
        <w:tc>
          <w:tcPr>
            <w:tcW w:w="392" w:type="pct"/>
            <w:tcBorders>
              <w:top w:val="single" w:sz="4" w:space="0" w:color="5B9BD5"/>
            </w:tcBorders>
            <w:shd w:val="clear" w:color="auto" w:fill="BDD6EE" w:themeFill="accent1" w:themeFillTint="66"/>
            <w:vAlign w:val="center"/>
            <w:hideMark/>
          </w:tcPr>
          <w:p w:rsidR="001D7FBD" w:rsidRPr="00D1550C" w:rsidRDefault="001D7FBD" w:rsidP="007F6743">
            <w:pPr>
              <w:jc w:val="center"/>
              <w:rPr>
                <w:b/>
              </w:rPr>
            </w:pPr>
            <w:r w:rsidRPr="00D1550C">
              <w:rPr>
                <w:b/>
              </w:rPr>
              <w:t>TOTAL</w:t>
            </w:r>
          </w:p>
        </w:tc>
      </w:tr>
      <w:tr w:rsidR="00024C49" w:rsidRPr="00D1550C" w:rsidTr="00760DB9">
        <w:trPr>
          <w:trHeight w:val="557"/>
        </w:trPr>
        <w:tc>
          <w:tcPr>
            <w:tcW w:w="1710" w:type="pct"/>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66,0</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10,1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4,2</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2,5</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1,4</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0,6</w:t>
            </w:r>
          </w:p>
        </w:tc>
        <w:tc>
          <w:tcPr>
            <w:tcW w:w="322" w:type="pct"/>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392" w:type="pct"/>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88,1</w:t>
            </w:r>
          </w:p>
        </w:tc>
      </w:tr>
      <w:tr w:rsidR="00024C49" w:rsidRPr="00D1550C" w:rsidTr="00760DB9">
        <w:trPr>
          <w:trHeight w:val="409"/>
        </w:trPr>
        <w:tc>
          <w:tcPr>
            <w:tcW w:w="1710" w:type="pct"/>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43,1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31,4</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34,9</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7,4</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0,4</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0,2</w:t>
            </w:r>
          </w:p>
        </w:tc>
        <w:tc>
          <w:tcPr>
            <w:tcW w:w="392" w:type="pct"/>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117,4</w:t>
            </w:r>
          </w:p>
        </w:tc>
      </w:tr>
      <w:tr w:rsidR="00024C49" w:rsidRPr="00D1550C" w:rsidTr="00760DB9">
        <w:trPr>
          <w:trHeight w:val="359"/>
        </w:trPr>
        <w:tc>
          <w:tcPr>
            <w:tcW w:w="1710" w:type="pct"/>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19,7</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0,8</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92" w:type="pct"/>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20,8</w:t>
            </w:r>
          </w:p>
        </w:tc>
      </w:tr>
      <w:tr w:rsidR="00024C49" w:rsidRPr="00D1550C" w:rsidTr="00760DB9">
        <w:trPr>
          <w:trHeight w:val="705"/>
        </w:trPr>
        <w:tc>
          <w:tcPr>
            <w:tcW w:w="1710" w:type="pct"/>
            <w:shd w:val="clear" w:color="auto" w:fill="auto"/>
            <w:vAlign w:val="center"/>
            <w:hideMark/>
          </w:tcPr>
          <w:p w:rsidR="00024C49" w:rsidRPr="00D1550C" w:rsidRDefault="00024C49" w:rsidP="00024C49">
            <w:pPr>
              <w:rPr>
                <w:rFonts w:cs="Calibri"/>
              </w:rPr>
            </w:pPr>
            <w:r w:rsidRPr="00D1550C">
              <w:rPr>
                <w:rFonts w:cs="Calibri"/>
              </w:rPr>
              <w:t>Official sources (Governments and international institutions)</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7,3</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2,7</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0,1</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22" w:type="pct"/>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392" w:type="pct"/>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10,2</w:t>
            </w:r>
          </w:p>
        </w:tc>
      </w:tr>
      <w:tr w:rsidR="00024C49" w:rsidRPr="00D1550C" w:rsidTr="00760DB9">
        <w:trPr>
          <w:trHeight w:val="255"/>
        </w:trPr>
        <w:tc>
          <w:tcPr>
            <w:tcW w:w="1710" w:type="pct"/>
            <w:shd w:val="clear" w:color="auto" w:fill="BDD6EE" w:themeFill="accent1" w:themeFillTint="66"/>
            <w:noWrap/>
            <w:vAlign w:val="center"/>
            <w:hideMark/>
          </w:tcPr>
          <w:p w:rsidR="00024C49" w:rsidRPr="00D1550C" w:rsidRDefault="00024C49" w:rsidP="00024C49">
            <w:pPr>
              <w:jc w:val="center"/>
              <w:rPr>
                <w:rFonts w:cs="Calibri"/>
              </w:rPr>
            </w:pPr>
            <w:r w:rsidRPr="00D1550C">
              <w:rPr>
                <w:rFonts w:cs="Calibri"/>
              </w:rPr>
              <w:t>TOTAL</w:t>
            </w:r>
          </w:p>
        </w:tc>
        <w:tc>
          <w:tcPr>
            <w:tcW w:w="322" w:type="pct"/>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136,1</w:t>
            </w:r>
          </w:p>
        </w:tc>
        <w:tc>
          <w:tcPr>
            <w:tcW w:w="322" w:type="pct"/>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45,0</w:t>
            </w:r>
          </w:p>
        </w:tc>
        <w:tc>
          <w:tcPr>
            <w:tcW w:w="322" w:type="pct"/>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39,4</w:t>
            </w:r>
          </w:p>
        </w:tc>
        <w:tc>
          <w:tcPr>
            <w:tcW w:w="322" w:type="pct"/>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10,6</w:t>
            </w:r>
          </w:p>
        </w:tc>
        <w:tc>
          <w:tcPr>
            <w:tcW w:w="322" w:type="pct"/>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3,1</w:t>
            </w:r>
          </w:p>
        </w:tc>
        <w:tc>
          <w:tcPr>
            <w:tcW w:w="322" w:type="pct"/>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1,4</w:t>
            </w:r>
          </w:p>
        </w:tc>
        <w:tc>
          <w:tcPr>
            <w:tcW w:w="322" w:type="pct"/>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0,6</w:t>
            </w:r>
          </w:p>
        </w:tc>
        <w:tc>
          <w:tcPr>
            <w:tcW w:w="322" w:type="pct"/>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322" w:type="pct"/>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0,2</w:t>
            </w:r>
          </w:p>
        </w:tc>
        <w:tc>
          <w:tcPr>
            <w:tcW w:w="392" w:type="pct"/>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236,4</w:t>
            </w:r>
          </w:p>
        </w:tc>
      </w:tr>
    </w:tbl>
    <w:p w:rsidR="002A24A4" w:rsidRPr="00D1550C" w:rsidRDefault="002A24A4" w:rsidP="009304D9">
      <w:pPr>
        <w:jc w:val="right"/>
        <w:rPr>
          <w:i/>
        </w:rPr>
      </w:pPr>
    </w:p>
    <w:p w:rsidR="00752542" w:rsidRPr="00D1550C" w:rsidRDefault="00752542" w:rsidP="009304D9">
      <w:pPr>
        <w:jc w:val="right"/>
        <w:rPr>
          <w:i/>
        </w:rPr>
      </w:pPr>
    </w:p>
    <w:p w:rsidR="007F6743" w:rsidRPr="00D1550C" w:rsidRDefault="007F6743" w:rsidP="009304D9">
      <w:pPr>
        <w:jc w:val="right"/>
        <w:rPr>
          <w:i/>
        </w:rPr>
      </w:pPr>
    </w:p>
    <w:p w:rsidR="009304D9" w:rsidRPr="00D1550C" w:rsidRDefault="00A11907" w:rsidP="009304D9">
      <w:pPr>
        <w:jc w:val="right"/>
        <w:rPr>
          <w:i/>
        </w:rPr>
      </w:pPr>
      <w:r w:rsidRPr="00D1550C">
        <w:rPr>
          <w:i/>
        </w:rPr>
        <w:lastRenderedPageBreak/>
        <w:t>Addenda 1</w:t>
      </w:r>
      <w:r w:rsidR="007F6743" w:rsidRPr="00D1550C">
        <w:rPr>
          <w:i/>
        </w:rPr>
        <w:t>4</w:t>
      </w:r>
      <w:r w:rsidRPr="00D1550C">
        <w:rPr>
          <w:i/>
        </w:rPr>
        <w:t>.3</w:t>
      </w:r>
    </w:p>
    <w:p w:rsidR="009304D9" w:rsidRPr="00D1550C" w:rsidRDefault="009304D9" w:rsidP="009304D9">
      <w:pPr>
        <w:jc w:val="center"/>
        <w:rPr>
          <w:b/>
        </w:rPr>
      </w:pPr>
    </w:p>
    <w:p w:rsidR="009304D9" w:rsidRPr="00D1550C" w:rsidRDefault="009304D9" w:rsidP="009304D9">
      <w:pPr>
        <w:jc w:val="center"/>
        <w:rPr>
          <w:b/>
        </w:rPr>
      </w:pPr>
      <w:r w:rsidRPr="00D1550C">
        <w:rPr>
          <w:rFonts w:cs="Calibri"/>
          <w:b/>
          <w:sz w:val="26"/>
          <w:szCs w:val="26"/>
        </w:rPr>
        <w:t>INFORMATION ON RECEIPTS AND PAYMENTS OF PRIVATE EXTERNAL DEBT</w:t>
      </w:r>
      <w:r w:rsidR="001D7FBD" w:rsidRPr="00D1550C">
        <w:rPr>
          <w:rFonts w:cs="Calibri"/>
          <w:b/>
          <w:sz w:val="26"/>
          <w:szCs w:val="26"/>
        </w:rPr>
        <w:t xml:space="preserve"> IN THE FIRST </w:t>
      </w:r>
      <w:r w:rsidR="00853E90" w:rsidRPr="00D1550C">
        <w:rPr>
          <w:rFonts w:cs="Calibri"/>
          <w:b/>
          <w:sz w:val="26"/>
          <w:szCs w:val="26"/>
        </w:rPr>
        <w:t>HALF</w:t>
      </w:r>
      <w:r w:rsidR="001D7FBD" w:rsidRPr="00D1550C">
        <w:rPr>
          <w:rFonts w:cs="Calibri"/>
          <w:b/>
          <w:sz w:val="26"/>
          <w:szCs w:val="26"/>
        </w:rPr>
        <w:t xml:space="preserve"> OF</w:t>
      </w:r>
      <w:r w:rsidRPr="00D1550C">
        <w:rPr>
          <w:rFonts w:cs="Calibri"/>
          <w:b/>
          <w:sz w:val="26"/>
          <w:szCs w:val="26"/>
        </w:rPr>
        <w:t xml:space="preserve"> 20</w:t>
      </w:r>
      <w:r w:rsidR="00212540" w:rsidRPr="00D1550C">
        <w:rPr>
          <w:rFonts w:cs="Calibri"/>
          <w:b/>
          <w:sz w:val="26"/>
          <w:szCs w:val="26"/>
        </w:rPr>
        <w:t>2</w:t>
      </w:r>
      <w:r w:rsidR="001D7FBD" w:rsidRPr="00D1550C">
        <w:rPr>
          <w:rFonts w:cs="Calibri"/>
          <w:b/>
          <w:sz w:val="26"/>
          <w:szCs w:val="26"/>
        </w:rPr>
        <w:t>1</w:t>
      </w:r>
      <w:r w:rsidRPr="00D1550C">
        <w:rPr>
          <w:rFonts w:cs="Calibri"/>
          <w:b/>
          <w:sz w:val="26"/>
          <w:szCs w:val="26"/>
        </w:rPr>
        <w:br/>
      </w:r>
      <w:r w:rsidRPr="00D1550C">
        <w:rPr>
          <w:rFonts w:cs="Calibri"/>
          <w:i/>
        </w:rPr>
        <w:t>(</w:t>
      </w:r>
      <w:r w:rsidR="004679FF" w:rsidRPr="00D1550C">
        <w:rPr>
          <w:rFonts w:cs="Calibri"/>
          <w:i/>
        </w:rPr>
        <w:t>Type of borrower</w:t>
      </w:r>
      <w:r w:rsidRPr="00D1550C">
        <w:rPr>
          <w:rFonts w:cs="Calibri"/>
          <w:i/>
        </w:rPr>
        <w:t xml:space="preserve">: </w:t>
      </w:r>
      <w:r w:rsidR="004679FF" w:rsidRPr="00D1550C">
        <w:rPr>
          <w:rFonts w:cs="Calibri"/>
          <w:i/>
        </w:rPr>
        <w:t>banks</w:t>
      </w:r>
      <w:r w:rsidRPr="00D1550C">
        <w:rPr>
          <w:rFonts w:cs="Calibri"/>
          <w:i/>
        </w:rPr>
        <w:t>)</w:t>
      </w:r>
    </w:p>
    <w:p w:rsidR="009304D9" w:rsidRPr="00D1550C" w:rsidRDefault="009304D9" w:rsidP="009304D9">
      <w:pPr>
        <w:ind w:right="-172"/>
        <w:jc w:val="right"/>
        <w:rPr>
          <w:i/>
          <w:sz w:val="20"/>
          <w:szCs w:val="20"/>
        </w:rPr>
      </w:pPr>
      <w:r w:rsidRPr="00D1550C">
        <w:rPr>
          <w:i/>
          <w:sz w:val="20"/>
          <w:szCs w:val="20"/>
        </w:rPr>
        <w:t xml:space="preserve"> (mln.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0"/>
        <w:gridCol w:w="1833"/>
        <w:gridCol w:w="1565"/>
        <w:gridCol w:w="1576"/>
        <w:gridCol w:w="1556"/>
        <w:gridCol w:w="1765"/>
        <w:gridCol w:w="1765"/>
        <w:gridCol w:w="1702"/>
      </w:tblGrid>
      <w:tr w:rsidR="009304D9" w:rsidRPr="00D1550C" w:rsidTr="00832C1D">
        <w:trPr>
          <w:trHeight w:val="255"/>
        </w:trPr>
        <w:tc>
          <w:tcPr>
            <w:tcW w:w="3230" w:type="dxa"/>
            <w:vMerge w:val="restart"/>
            <w:shd w:val="clear" w:color="auto" w:fill="BDD6EE" w:themeFill="accent1" w:themeFillTint="66"/>
            <w:vAlign w:val="center"/>
            <w:hideMark/>
          </w:tcPr>
          <w:p w:rsidR="009304D9" w:rsidRPr="00D1550C" w:rsidRDefault="009304D9" w:rsidP="006F7BE3">
            <w:pPr>
              <w:jc w:val="center"/>
              <w:rPr>
                <w:b/>
              </w:rPr>
            </w:pPr>
            <w:r w:rsidRPr="00D1550C">
              <w:rPr>
                <w:rFonts w:cs="Calibri"/>
                <w:b/>
              </w:rPr>
              <w:t>Type of creditor</w:t>
            </w:r>
          </w:p>
        </w:tc>
        <w:tc>
          <w:tcPr>
            <w:tcW w:w="183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b/>
              </w:rPr>
            </w:pPr>
            <w:r w:rsidRPr="00D1550C">
              <w:rPr>
                <w:rFonts w:cs="Calibri"/>
                <w:b/>
              </w:rPr>
              <w:t>period</w:t>
            </w:r>
          </w:p>
        </w:tc>
        <w:tc>
          <w:tcPr>
            <w:tcW w:w="8227" w:type="dxa"/>
            <w:gridSpan w:val="5"/>
            <w:shd w:val="clear" w:color="auto" w:fill="BDD6EE" w:themeFill="accent1" w:themeFillTint="66"/>
            <w:noWrap/>
            <w:vAlign w:val="center"/>
            <w:hideMark/>
          </w:tcPr>
          <w:p w:rsidR="009304D9" w:rsidRPr="00D1550C" w:rsidRDefault="009304D9" w:rsidP="006F7BE3">
            <w:pPr>
              <w:jc w:val="center"/>
              <w:rPr>
                <w:b/>
              </w:rPr>
            </w:pPr>
            <w:r w:rsidRPr="00D1550C">
              <w:rPr>
                <w:rFonts w:cs="Calibri"/>
                <w:b/>
              </w:rPr>
              <w:t>Dynamics during the period.</w:t>
            </w:r>
          </w:p>
        </w:tc>
        <w:tc>
          <w:tcPr>
            <w:tcW w:w="1702"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End of period</w:t>
            </w:r>
          </w:p>
        </w:tc>
      </w:tr>
      <w:tr w:rsidR="0046749D" w:rsidRPr="00D1550C" w:rsidTr="00832C1D">
        <w:trPr>
          <w:trHeight w:val="510"/>
        </w:trPr>
        <w:tc>
          <w:tcPr>
            <w:tcW w:w="3230" w:type="dxa"/>
            <w:vMerge/>
            <w:shd w:val="clear" w:color="auto" w:fill="BDD6EE" w:themeFill="accent1" w:themeFillTint="66"/>
            <w:vAlign w:val="center"/>
            <w:hideMark/>
          </w:tcPr>
          <w:p w:rsidR="0046749D" w:rsidRPr="00D1550C" w:rsidRDefault="0046749D" w:rsidP="0046749D">
            <w:pPr>
              <w:rPr>
                <w:b/>
              </w:rPr>
            </w:pPr>
          </w:p>
        </w:tc>
        <w:tc>
          <w:tcPr>
            <w:tcW w:w="1833"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Actual debt</w:t>
            </w:r>
          </w:p>
        </w:tc>
        <w:tc>
          <w:tcPr>
            <w:tcW w:w="1565"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Receipts</w:t>
            </w:r>
          </w:p>
        </w:tc>
        <w:tc>
          <w:tcPr>
            <w:tcW w:w="1576"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Repayment of</w:t>
            </w:r>
          </w:p>
          <w:p w:rsidR="0046749D" w:rsidRPr="00D1550C" w:rsidRDefault="0046749D" w:rsidP="0046749D">
            <w:pPr>
              <w:jc w:val="center"/>
              <w:rPr>
                <w:rFonts w:cs="Calibri"/>
                <w:b/>
              </w:rPr>
            </w:pPr>
            <w:r w:rsidRPr="00D1550C">
              <w:rPr>
                <w:rFonts w:cs="Calibri"/>
                <w:b/>
              </w:rPr>
              <w:t>principal debt.</w:t>
            </w:r>
          </w:p>
        </w:tc>
        <w:tc>
          <w:tcPr>
            <w:tcW w:w="1556"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 xml:space="preserve">Interest </w:t>
            </w:r>
          </w:p>
          <w:p w:rsidR="0046749D" w:rsidRPr="00D1550C" w:rsidRDefault="0046749D" w:rsidP="0046749D">
            <w:pPr>
              <w:jc w:val="center"/>
              <w:rPr>
                <w:rFonts w:cs="Calibri"/>
                <w:b/>
              </w:rPr>
            </w:pPr>
            <w:r w:rsidRPr="00D1550C">
              <w:rPr>
                <w:rFonts w:cs="Calibri"/>
                <w:b/>
              </w:rPr>
              <w:t>payments</w:t>
            </w:r>
          </w:p>
        </w:tc>
        <w:tc>
          <w:tcPr>
            <w:tcW w:w="1765"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Rescheduled</w:t>
            </w:r>
          </w:p>
          <w:p w:rsidR="0046749D" w:rsidRPr="00D1550C" w:rsidRDefault="0046749D" w:rsidP="0046749D">
            <w:pPr>
              <w:jc w:val="center"/>
              <w:rPr>
                <w:rFonts w:cs="Calibri"/>
                <w:b/>
              </w:rPr>
            </w:pPr>
            <w:r w:rsidRPr="00D1550C">
              <w:rPr>
                <w:rFonts w:cs="Calibri"/>
                <w:b/>
              </w:rPr>
              <w:t xml:space="preserve">principal debt </w:t>
            </w:r>
          </w:p>
          <w:p w:rsidR="0046749D" w:rsidRPr="00D1550C" w:rsidRDefault="0046749D" w:rsidP="0046749D">
            <w:pPr>
              <w:jc w:val="center"/>
              <w:rPr>
                <w:rFonts w:cs="Calibri"/>
                <w:b/>
              </w:rPr>
            </w:pPr>
            <w:r w:rsidRPr="00D1550C">
              <w:rPr>
                <w:rFonts w:cs="Calibri"/>
                <w:b/>
              </w:rPr>
              <w:t>payments</w:t>
            </w:r>
          </w:p>
        </w:tc>
        <w:tc>
          <w:tcPr>
            <w:tcW w:w="1765"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Rescheduled</w:t>
            </w:r>
          </w:p>
          <w:p w:rsidR="0046749D" w:rsidRPr="00D1550C" w:rsidRDefault="0046749D" w:rsidP="0046749D">
            <w:pPr>
              <w:jc w:val="center"/>
              <w:rPr>
                <w:rFonts w:cs="Calibri"/>
                <w:b/>
              </w:rPr>
            </w:pPr>
            <w:r w:rsidRPr="00D1550C">
              <w:rPr>
                <w:rFonts w:cs="Calibri"/>
                <w:b/>
              </w:rPr>
              <w:t xml:space="preserve">interest </w:t>
            </w:r>
          </w:p>
          <w:p w:rsidR="0046749D" w:rsidRPr="00D1550C" w:rsidRDefault="0046749D" w:rsidP="0046749D">
            <w:pPr>
              <w:jc w:val="center"/>
              <w:rPr>
                <w:rFonts w:cs="Calibri"/>
                <w:b/>
              </w:rPr>
            </w:pPr>
            <w:r w:rsidRPr="00D1550C">
              <w:rPr>
                <w:rFonts w:cs="Calibri"/>
                <w:b/>
              </w:rPr>
              <w:t>payments</w:t>
            </w:r>
          </w:p>
        </w:tc>
        <w:tc>
          <w:tcPr>
            <w:tcW w:w="1702"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Actual debt</w:t>
            </w:r>
          </w:p>
        </w:tc>
      </w:tr>
      <w:tr w:rsidR="009304D9" w:rsidRPr="00D1550C" w:rsidTr="004817AF">
        <w:trPr>
          <w:trHeight w:val="255"/>
        </w:trPr>
        <w:tc>
          <w:tcPr>
            <w:tcW w:w="3230" w:type="dxa"/>
            <w:shd w:val="clear" w:color="auto" w:fill="auto"/>
            <w:noWrap/>
            <w:vAlign w:val="center"/>
            <w:hideMark/>
          </w:tcPr>
          <w:p w:rsidR="009304D9" w:rsidRPr="00D1550C" w:rsidRDefault="009304D9" w:rsidP="006F7BE3">
            <w:pPr>
              <w:jc w:val="center"/>
            </w:pPr>
            <w:r w:rsidRPr="00D1550C">
              <w:t>1</w:t>
            </w:r>
          </w:p>
        </w:tc>
        <w:tc>
          <w:tcPr>
            <w:tcW w:w="1833" w:type="dxa"/>
            <w:shd w:val="clear" w:color="auto" w:fill="auto"/>
            <w:noWrap/>
            <w:vAlign w:val="center"/>
            <w:hideMark/>
          </w:tcPr>
          <w:p w:rsidR="009304D9" w:rsidRPr="00D1550C" w:rsidRDefault="009304D9" w:rsidP="006F7BE3">
            <w:pPr>
              <w:jc w:val="center"/>
            </w:pPr>
            <w:r w:rsidRPr="00D1550C">
              <w:t>2</w:t>
            </w:r>
          </w:p>
        </w:tc>
        <w:tc>
          <w:tcPr>
            <w:tcW w:w="1565" w:type="dxa"/>
            <w:shd w:val="clear" w:color="auto" w:fill="auto"/>
            <w:noWrap/>
            <w:vAlign w:val="center"/>
            <w:hideMark/>
          </w:tcPr>
          <w:p w:rsidR="009304D9" w:rsidRPr="00D1550C" w:rsidRDefault="009304D9" w:rsidP="006F7BE3">
            <w:pPr>
              <w:jc w:val="center"/>
            </w:pPr>
            <w:r w:rsidRPr="00D1550C">
              <w:t>3</w:t>
            </w:r>
          </w:p>
        </w:tc>
        <w:tc>
          <w:tcPr>
            <w:tcW w:w="1576" w:type="dxa"/>
            <w:shd w:val="clear" w:color="auto" w:fill="auto"/>
            <w:noWrap/>
            <w:vAlign w:val="center"/>
            <w:hideMark/>
          </w:tcPr>
          <w:p w:rsidR="009304D9" w:rsidRPr="00D1550C" w:rsidRDefault="009304D9" w:rsidP="006F7BE3">
            <w:pPr>
              <w:jc w:val="center"/>
            </w:pPr>
            <w:r w:rsidRPr="00D1550C">
              <w:t>4</w:t>
            </w:r>
          </w:p>
        </w:tc>
        <w:tc>
          <w:tcPr>
            <w:tcW w:w="1556" w:type="dxa"/>
            <w:shd w:val="clear" w:color="auto" w:fill="auto"/>
            <w:noWrap/>
            <w:vAlign w:val="center"/>
            <w:hideMark/>
          </w:tcPr>
          <w:p w:rsidR="009304D9" w:rsidRPr="00D1550C" w:rsidRDefault="009304D9" w:rsidP="006F7BE3">
            <w:pPr>
              <w:jc w:val="center"/>
            </w:pPr>
            <w:r w:rsidRPr="00D1550C">
              <w:t>5</w:t>
            </w:r>
          </w:p>
        </w:tc>
        <w:tc>
          <w:tcPr>
            <w:tcW w:w="1765" w:type="dxa"/>
            <w:shd w:val="clear" w:color="auto" w:fill="auto"/>
            <w:noWrap/>
            <w:vAlign w:val="center"/>
            <w:hideMark/>
          </w:tcPr>
          <w:p w:rsidR="009304D9" w:rsidRPr="00D1550C" w:rsidRDefault="009304D9" w:rsidP="006F7BE3">
            <w:pPr>
              <w:jc w:val="center"/>
            </w:pPr>
            <w:r w:rsidRPr="00D1550C">
              <w:t>6</w:t>
            </w:r>
          </w:p>
        </w:tc>
        <w:tc>
          <w:tcPr>
            <w:tcW w:w="1765" w:type="dxa"/>
            <w:shd w:val="clear" w:color="auto" w:fill="auto"/>
            <w:noWrap/>
            <w:vAlign w:val="center"/>
            <w:hideMark/>
          </w:tcPr>
          <w:p w:rsidR="009304D9" w:rsidRPr="00D1550C" w:rsidRDefault="009304D9" w:rsidP="006F7BE3">
            <w:pPr>
              <w:jc w:val="center"/>
            </w:pPr>
            <w:r w:rsidRPr="00D1550C">
              <w:t>7</w:t>
            </w:r>
          </w:p>
        </w:tc>
        <w:tc>
          <w:tcPr>
            <w:tcW w:w="1702" w:type="dxa"/>
            <w:shd w:val="clear" w:color="auto" w:fill="auto"/>
            <w:noWrap/>
            <w:vAlign w:val="center"/>
            <w:hideMark/>
          </w:tcPr>
          <w:p w:rsidR="009304D9" w:rsidRPr="00D1550C" w:rsidRDefault="009304D9" w:rsidP="006F7BE3">
            <w:pPr>
              <w:jc w:val="center"/>
            </w:pPr>
            <w:r w:rsidRPr="00D1550C">
              <w:t>8</w:t>
            </w:r>
          </w:p>
        </w:tc>
      </w:tr>
      <w:tr w:rsidR="00024C49" w:rsidRPr="00D1550C" w:rsidTr="001D7FBD">
        <w:trPr>
          <w:trHeight w:val="765"/>
        </w:trPr>
        <w:tc>
          <w:tcPr>
            <w:tcW w:w="3230" w:type="dxa"/>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183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4 704,1</w:t>
            </w:r>
          </w:p>
        </w:tc>
        <w:tc>
          <w:tcPr>
            <w:tcW w:w="15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1 433,3</w:t>
            </w:r>
          </w:p>
        </w:tc>
        <w:tc>
          <w:tcPr>
            <w:tcW w:w="157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735,3</w:t>
            </w:r>
          </w:p>
        </w:tc>
        <w:tc>
          <w:tcPr>
            <w:tcW w:w="155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109,6</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5 332,7</w:t>
            </w:r>
          </w:p>
        </w:tc>
      </w:tr>
      <w:tr w:rsidR="00024C49" w:rsidRPr="00D1550C" w:rsidTr="001D7FBD">
        <w:trPr>
          <w:trHeight w:val="510"/>
        </w:trPr>
        <w:tc>
          <w:tcPr>
            <w:tcW w:w="3230" w:type="dxa"/>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183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5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57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55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r>
      <w:tr w:rsidR="00024C49" w:rsidRPr="00D1550C" w:rsidTr="001D7FBD">
        <w:trPr>
          <w:trHeight w:val="510"/>
        </w:trPr>
        <w:tc>
          <w:tcPr>
            <w:tcW w:w="3230" w:type="dxa"/>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183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269,3</w:t>
            </w:r>
          </w:p>
        </w:tc>
        <w:tc>
          <w:tcPr>
            <w:tcW w:w="15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20,4</w:t>
            </w:r>
          </w:p>
        </w:tc>
        <w:tc>
          <w:tcPr>
            <w:tcW w:w="157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32,7</w:t>
            </w:r>
          </w:p>
        </w:tc>
        <w:tc>
          <w:tcPr>
            <w:tcW w:w="155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9,1</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254,2</w:t>
            </w:r>
          </w:p>
        </w:tc>
      </w:tr>
      <w:tr w:rsidR="00024C49" w:rsidRPr="00D1550C" w:rsidTr="001D7FBD">
        <w:trPr>
          <w:trHeight w:val="874"/>
        </w:trPr>
        <w:tc>
          <w:tcPr>
            <w:tcW w:w="3230" w:type="dxa"/>
            <w:shd w:val="clear" w:color="auto" w:fill="auto"/>
            <w:vAlign w:val="center"/>
            <w:hideMark/>
          </w:tcPr>
          <w:p w:rsidR="00024C49" w:rsidRPr="00D1550C" w:rsidRDefault="00024C49" w:rsidP="00024C49">
            <w:pPr>
              <w:rPr>
                <w:rFonts w:cs="Calibri"/>
              </w:rPr>
            </w:pPr>
            <w:r w:rsidRPr="00D1550C">
              <w:rPr>
                <w:rFonts w:cs="Calibri"/>
              </w:rPr>
              <w:t>Official sources (Governments and international institutions)</w:t>
            </w:r>
          </w:p>
        </w:tc>
        <w:tc>
          <w:tcPr>
            <w:tcW w:w="183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318,7</w:t>
            </w:r>
          </w:p>
        </w:tc>
        <w:tc>
          <w:tcPr>
            <w:tcW w:w="15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66,6</w:t>
            </w:r>
          </w:p>
        </w:tc>
        <w:tc>
          <w:tcPr>
            <w:tcW w:w="157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74,1</w:t>
            </w:r>
          </w:p>
        </w:tc>
        <w:tc>
          <w:tcPr>
            <w:tcW w:w="155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11,1</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309,8</w:t>
            </w:r>
          </w:p>
        </w:tc>
      </w:tr>
      <w:tr w:rsidR="00024C49" w:rsidRPr="00D1550C" w:rsidTr="004817AF">
        <w:trPr>
          <w:trHeight w:val="691"/>
        </w:trPr>
        <w:tc>
          <w:tcPr>
            <w:tcW w:w="3230" w:type="dxa"/>
            <w:shd w:val="clear" w:color="auto" w:fill="auto"/>
            <w:vAlign w:val="center"/>
          </w:tcPr>
          <w:p w:rsidR="00024C49" w:rsidRPr="00D1550C" w:rsidRDefault="00024C49" w:rsidP="00024C49">
            <w:pPr>
              <w:rPr>
                <w:rFonts w:cs="Calibri"/>
              </w:rPr>
            </w:pPr>
            <w:r w:rsidRPr="00D1550C">
              <w:rPr>
                <w:rFonts w:cs="Calibri"/>
              </w:rPr>
              <w:t>International Bonds</w:t>
            </w:r>
          </w:p>
        </w:tc>
        <w:tc>
          <w:tcPr>
            <w:tcW w:w="183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937,5</w:t>
            </w:r>
          </w:p>
        </w:tc>
        <w:tc>
          <w:tcPr>
            <w:tcW w:w="15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75,0</w:t>
            </w:r>
          </w:p>
        </w:tc>
        <w:tc>
          <w:tcPr>
            <w:tcW w:w="157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556"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65"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1 034,0</w:t>
            </w:r>
          </w:p>
        </w:tc>
      </w:tr>
      <w:tr w:rsidR="00024C49" w:rsidRPr="00D1550C" w:rsidTr="001D7FBD">
        <w:trPr>
          <w:trHeight w:val="255"/>
        </w:trPr>
        <w:tc>
          <w:tcPr>
            <w:tcW w:w="3230" w:type="dxa"/>
            <w:shd w:val="clear" w:color="auto" w:fill="BDD6EE" w:themeFill="accent1" w:themeFillTint="66"/>
            <w:noWrap/>
            <w:vAlign w:val="center"/>
            <w:hideMark/>
          </w:tcPr>
          <w:p w:rsidR="00024C49" w:rsidRPr="00D1550C" w:rsidRDefault="00024C49" w:rsidP="00024C49">
            <w:pPr>
              <w:jc w:val="center"/>
              <w:rPr>
                <w:rFonts w:cs="Calibri"/>
              </w:rPr>
            </w:pPr>
            <w:r w:rsidRPr="00D1550C">
              <w:rPr>
                <w:rFonts w:cs="Calibri"/>
              </w:rPr>
              <w:t>TOTAL</w:t>
            </w:r>
          </w:p>
        </w:tc>
        <w:tc>
          <w:tcPr>
            <w:tcW w:w="1833"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6 229,5</w:t>
            </w:r>
          </w:p>
        </w:tc>
        <w:tc>
          <w:tcPr>
            <w:tcW w:w="1565"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1 595,3</w:t>
            </w:r>
          </w:p>
        </w:tc>
        <w:tc>
          <w:tcPr>
            <w:tcW w:w="1576"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842,1</w:t>
            </w:r>
          </w:p>
        </w:tc>
        <w:tc>
          <w:tcPr>
            <w:tcW w:w="1556"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129,8</w:t>
            </w:r>
          </w:p>
        </w:tc>
        <w:tc>
          <w:tcPr>
            <w:tcW w:w="1765"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765"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702"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6 930,7</w:t>
            </w:r>
          </w:p>
        </w:tc>
      </w:tr>
    </w:tbl>
    <w:p w:rsidR="009304D9" w:rsidRPr="00D1550C" w:rsidRDefault="009304D9" w:rsidP="009304D9">
      <w:pPr>
        <w:tabs>
          <w:tab w:val="left" w:pos="6255"/>
        </w:tabs>
        <w:ind w:right="-456"/>
        <w:rPr>
          <w:i/>
        </w:rPr>
      </w:pPr>
    </w:p>
    <w:p w:rsidR="009304D9" w:rsidRPr="00D1550C" w:rsidRDefault="009304D9" w:rsidP="009304D9">
      <w:pPr>
        <w:tabs>
          <w:tab w:val="left" w:pos="6255"/>
        </w:tabs>
        <w:ind w:right="-456"/>
        <w:rPr>
          <w:i/>
        </w:rPr>
      </w:pPr>
    </w:p>
    <w:p w:rsidR="009304D9" w:rsidRPr="00D1550C" w:rsidRDefault="009304D9" w:rsidP="009304D9">
      <w:pPr>
        <w:rPr>
          <w:b/>
        </w:rPr>
      </w:pPr>
    </w:p>
    <w:p w:rsidR="009304D9" w:rsidRPr="00D1550C" w:rsidRDefault="009304D9" w:rsidP="004B46E9">
      <w:pPr>
        <w:ind w:right="196"/>
        <w:jc w:val="right"/>
        <w:rPr>
          <w:i/>
          <w:sz w:val="22"/>
          <w:szCs w:val="22"/>
        </w:rPr>
      </w:pPr>
      <w:r w:rsidRPr="00D1550C">
        <w:rPr>
          <w:b/>
        </w:rPr>
        <w:br w:type="page"/>
      </w:r>
      <w:r w:rsidR="00A11907" w:rsidRPr="00D1550C">
        <w:rPr>
          <w:i/>
          <w:sz w:val="22"/>
          <w:szCs w:val="22"/>
        </w:rPr>
        <w:lastRenderedPageBreak/>
        <w:t>Addenda 1</w:t>
      </w:r>
      <w:r w:rsidR="007F6743" w:rsidRPr="00D1550C">
        <w:rPr>
          <w:i/>
          <w:sz w:val="22"/>
          <w:szCs w:val="22"/>
        </w:rPr>
        <w:t>4</w:t>
      </w:r>
      <w:r w:rsidR="00A11907" w:rsidRPr="00D1550C">
        <w:rPr>
          <w:i/>
          <w:sz w:val="22"/>
          <w:szCs w:val="22"/>
        </w:rPr>
        <w:t>.4</w:t>
      </w:r>
    </w:p>
    <w:p w:rsidR="009304D9" w:rsidRPr="00D1550C" w:rsidRDefault="009304D9" w:rsidP="009304D9">
      <w:pPr>
        <w:jc w:val="center"/>
      </w:pPr>
      <w:r w:rsidRPr="00D1550C">
        <w:rPr>
          <w:rFonts w:cs="Calibri"/>
          <w:b/>
          <w:sz w:val="26"/>
          <w:szCs w:val="26"/>
        </w:rPr>
        <w:t>FORECAST OF FUTURE PAYMENTS OF PRINCIPAL DEBT AND INTEREST</w:t>
      </w:r>
      <w:r w:rsidRPr="00D1550C">
        <w:rPr>
          <w:rFonts w:cs="Calibri"/>
          <w:b/>
          <w:sz w:val="26"/>
          <w:szCs w:val="26"/>
        </w:rPr>
        <w:br/>
      </w:r>
      <w:r w:rsidRPr="00D1550C">
        <w:rPr>
          <w:rFonts w:cs="Calibri"/>
          <w:i/>
        </w:rPr>
        <w:t>(</w:t>
      </w:r>
      <w:r w:rsidR="004679FF" w:rsidRPr="00D1550C">
        <w:rPr>
          <w:rFonts w:cs="Calibri"/>
          <w:i/>
        </w:rPr>
        <w:t>Type of borrower</w:t>
      </w:r>
      <w:r w:rsidRPr="00D1550C">
        <w:rPr>
          <w:rFonts w:cs="Calibri"/>
          <w:i/>
        </w:rPr>
        <w:t xml:space="preserve">: </w:t>
      </w:r>
      <w:r w:rsidR="004679FF" w:rsidRPr="00D1550C">
        <w:rPr>
          <w:rFonts w:cs="Calibri"/>
          <w:i/>
        </w:rPr>
        <w:t>banks</w:t>
      </w:r>
      <w:r w:rsidRPr="00D1550C">
        <w:rPr>
          <w:rFonts w:cs="Calibri"/>
          <w:i/>
        </w:rPr>
        <w:t>)</w:t>
      </w:r>
    </w:p>
    <w:tbl>
      <w:tblPr>
        <w:tblW w:w="14876"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819"/>
        <w:gridCol w:w="961"/>
        <w:gridCol w:w="30"/>
        <w:gridCol w:w="206"/>
        <w:gridCol w:w="787"/>
        <w:gridCol w:w="992"/>
        <w:gridCol w:w="711"/>
        <w:gridCol w:w="281"/>
        <w:gridCol w:w="656"/>
        <w:gridCol w:w="336"/>
        <w:gridCol w:w="609"/>
        <w:gridCol w:w="384"/>
        <w:gridCol w:w="556"/>
        <w:gridCol w:w="436"/>
        <w:gridCol w:w="499"/>
        <w:gridCol w:w="493"/>
        <w:gridCol w:w="508"/>
        <w:gridCol w:w="484"/>
        <w:gridCol w:w="1038"/>
        <w:gridCol w:w="90"/>
      </w:tblGrid>
      <w:tr w:rsidR="004B46E9" w:rsidRPr="00D1550C" w:rsidTr="004B46E9">
        <w:trPr>
          <w:trHeight w:val="80"/>
        </w:trPr>
        <w:tc>
          <w:tcPr>
            <w:tcW w:w="4819" w:type="dxa"/>
            <w:vMerge w:val="restart"/>
            <w:tcBorders>
              <w:top w:val="nil"/>
              <w:left w:val="nil"/>
              <w:bottom w:val="nil"/>
              <w:right w:val="nil"/>
            </w:tcBorders>
            <w:shd w:val="clear" w:color="auto" w:fill="auto"/>
            <w:vAlign w:val="bottom"/>
            <w:hideMark/>
          </w:tcPr>
          <w:p w:rsidR="004B46E9" w:rsidRPr="00D1550C" w:rsidRDefault="004B46E9" w:rsidP="006F7BE3">
            <w:pPr>
              <w:rPr>
                <w:b/>
              </w:rPr>
            </w:pPr>
            <w:r w:rsidRPr="00D1550C">
              <w:rPr>
                <w:rFonts w:cs="Calibri"/>
                <w:b/>
              </w:rPr>
              <w:t>Principal debt</w:t>
            </w:r>
          </w:p>
        </w:tc>
        <w:tc>
          <w:tcPr>
            <w:tcW w:w="961" w:type="dxa"/>
            <w:tcBorders>
              <w:top w:val="nil"/>
              <w:left w:val="nil"/>
              <w:bottom w:val="nil"/>
              <w:right w:val="nil"/>
            </w:tcBorders>
            <w:shd w:val="clear" w:color="auto" w:fill="auto"/>
            <w:noWrap/>
            <w:vAlign w:val="bottom"/>
            <w:hideMark/>
          </w:tcPr>
          <w:p w:rsidR="004B46E9" w:rsidRPr="00D1550C" w:rsidRDefault="004B46E9" w:rsidP="006F7BE3">
            <w:pPr>
              <w:jc w:val="center"/>
              <w:rPr>
                <w:b/>
              </w:rPr>
            </w:pPr>
          </w:p>
        </w:tc>
        <w:tc>
          <w:tcPr>
            <w:tcW w:w="236"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787" w:type="dxa"/>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703"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37"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45"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40"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35"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001" w:type="dxa"/>
            <w:gridSpan w:val="2"/>
            <w:tcBorders>
              <w:top w:val="nil"/>
              <w:left w:val="nil"/>
              <w:bottom w:val="nil"/>
              <w:right w:val="nil"/>
            </w:tcBorders>
          </w:tcPr>
          <w:p w:rsidR="004B46E9" w:rsidRPr="00D1550C" w:rsidRDefault="004B46E9" w:rsidP="006F7BE3">
            <w:pPr>
              <w:rPr>
                <w:b/>
              </w:rPr>
            </w:pPr>
          </w:p>
        </w:tc>
        <w:tc>
          <w:tcPr>
            <w:tcW w:w="1612" w:type="dxa"/>
            <w:gridSpan w:val="3"/>
            <w:tcBorders>
              <w:top w:val="nil"/>
              <w:left w:val="nil"/>
              <w:bottom w:val="nil"/>
              <w:right w:val="nil"/>
            </w:tcBorders>
            <w:shd w:val="clear" w:color="auto" w:fill="auto"/>
            <w:noWrap/>
            <w:vAlign w:val="bottom"/>
            <w:hideMark/>
          </w:tcPr>
          <w:p w:rsidR="004B46E9" w:rsidRPr="00D1550C" w:rsidRDefault="004B46E9" w:rsidP="006F7BE3">
            <w:pPr>
              <w:rPr>
                <w:b/>
              </w:rPr>
            </w:pPr>
          </w:p>
        </w:tc>
      </w:tr>
      <w:tr w:rsidR="004B46E9" w:rsidRPr="00D1550C" w:rsidTr="004B46E9">
        <w:trPr>
          <w:trHeight w:val="70"/>
        </w:trPr>
        <w:tc>
          <w:tcPr>
            <w:tcW w:w="4819" w:type="dxa"/>
            <w:vMerge/>
            <w:tcBorders>
              <w:top w:val="nil"/>
              <w:left w:val="nil"/>
              <w:bottom w:val="single" w:sz="4" w:space="0" w:color="5B9BD5" w:themeColor="accent1"/>
              <w:right w:val="nil"/>
            </w:tcBorders>
            <w:vAlign w:val="center"/>
            <w:hideMark/>
          </w:tcPr>
          <w:p w:rsidR="004B46E9" w:rsidRPr="00D1550C" w:rsidRDefault="004B46E9" w:rsidP="006F7BE3">
            <w:pPr>
              <w:rPr>
                <w:b/>
              </w:rPr>
            </w:pPr>
          </w:p>
        </w:tc>
        <w:tc>
          <w:tcPr>
            <w:tcW w:w="961" w:type="dxa"/>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236"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787" w:type="dxa"/>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703"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37"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45"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40"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35"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1001" w:type="dxa"/>
            <w:gridSpan w:val="2"/>
            <w:tcBorders>
              <w:top w:val="nil"/>
              <w:left w:val="nil"/>
              <w:bottom w:val="single" w:sz="4" w:space="0" w:color="5B9BD5" w:themeColor="accent1"/>
              <w:right w:val="nil"/>
            </w:tcBorders>
          </w:tcPr>
          <w:p w:rsidR="004B46E9" w:rsidRPr="00D1550C" w:rsidRDefault="004B46E9" w:rsidP="006F7BE3">
            <w:pPr>
              <w:jc w:val="right"/>
              <w:rPr>
                <w:i/>
                <w:sz w:val="20"/>
                <w:szCs w:val="20"/>
              </w:rPr>
            </w:pPr>
          </w:p>
        </w:tc>
        <w:tc>
          <w:tcPr>
            <w:tcW w:w="1612" w:type="dxa"/>
            <w:gridSpan w:val="3"/>
            <w:tcBorders>
              <w:top w:val="nil"/>
              <w:left w:val="nil"/>
              <w:bottom w:val="single" w:sz="4" w:space="0" w:color="5B9BD5" w:themeColor="accent1"/>
              <w:right w:val="nil"/>
            </w:tcBorders>
            <w:shd w:val="clear" w:color="auto" w:fill="auto"/>
            <w:noWrap/>
            <w:vAlign w:val="bottom"/>
            <w:hideMark/>
          </w:tcPr>
          <w:p w:rsidR="004B46E9" w:rsidRPr="00D1550C" w:rsidRDefault="004B46E9" w:rsidP="004B46E9">
            <w:pPr>
              <w:ind w:right="172"/>
              <w:jc w:val="right"/>
              <w:rPr>
                <w:i/>
                <w:sz w:val="20"/>
                <w:szCs w:val="20"/>
              </w:rPr>
            </w:pPr>
            <w:r w:rsidRPr="00D1550C">
              <w:rPr>
                <w:i/>
                <w:sz w:val="20"/>
                <w:szCs w:val="20"/>
              </w:rPr>
              <w:t>(mln. USD)</w:t>
            </w:r>
          </w:p>
        </w:tc>
      </w:tr>
      <w:tr w:rsidR="004B46E9" w:rsidRPr="00D1550C" w:rsidTr="004B46E9">
        <w:trPr>
          <w:gridAfter w:val="1"/>
          <w:wAfter w:w="90" w:type="dxa"/>
          <w:trHeight w:val="255"/>
        </w:trPr>
        <w:tc>
          <w:tcPr>
            <w:tcW w:w="4819" w:type="dxa"/>
            <w:tcBorders>
              <w:top w:val="single" w:sz="4" w:space="0" w:color="5B9BD5" w:themeColor="accent1"/>
            </w:tcBorders>
            <w:shd w:val="clear" w:color="auto" w:fill="BDD6EE" w:themeFill="accent1" w:themeFillTint="66"/>
            <w:noWrap/>
            <w:vAlign w:val="center"/>
            <w:hideMark/>
          </w:tcPr>
          <w:p w:rsidR="004B46E9" w:rsidRPr="00D1550C" w:rsidRDefault="004B46E9" w:rsidP="007F6743">
            <w:pPr>
              <w:rPr>
                <w:rFonts w:cs="Calibri"/>
                <w:b/>
              </w:rPr>
            </w:pPr>
            <w:r w:rsidRPr="00D1550C">
              <w:rPr>
                <w:rFonts w:cs="Calibri"/>
                <w:b/>
              </w:rPr>
              <w:t>Type of creditor</w:t>
            </w:r>
          </w:p>
        </w:tc>
        <w:tc>
          <w:tcPr>
            <w:tcW w:w="991"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2022</w:t>
            </w:r>
          </w:p>
        </w:tc>
        <w:tc>
          <w:tcPr>
            <w:tcW w:w="992" w:type="dxa"/>
            <w:tcBorders>
              <w:top w:val="single" w:sz="4" w:space="0" w:color="5B9BD5" w:themeColor="accent1"/>
              <w:lef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2024</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2025</w:t>
            </w:r>
          </w:p>
        </w:tc>
        <w:tc>
          <w:tcPr>
            <w:tcW w:w="993"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4B46E9" w:rsidRPr="00D1550C" w:rsidRDefault="004B46E9" w:rsidP="007F6743">
            <w:pPr>
              <w:jc w:val="center"/>
              <w:rPr>
                <w:rFonts w:cs="Calibri"/>
                <w:b/>
              </w:rPr>
            </w:pPr>
            <w:r w:rsidRPr="00D1550C">
              <w:rPr>
                <w:rFonts w:cs="Calibri"/>
                <w:b/>
              </w:rPr>
              <w:t>2028</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4B46E9">
            <w:pPr>
              <w:jc w:val="center"/>
              <w:rPr>
                <w:b/>
              </w:rPr>
            </w:pPr>
            <w:r w:rsidRPr="00D1550C">
              <w:rPr>
                <w:rFonts w:cs="Calibri"/>
                <w:b/>
              </w:rPr>
              <w:t>after 2028</w:t>
            </w:r>
          </w:p>
        </w:tc>
        <w:tc>
          <w:tcPr>
            <w:tcW w:w="1038" w:type="dxa"/>
            <w:tcBorders>
              <w:top w:val="single" w:sz="4" w:space="0" w:color="5B9BD5" w:themeColor="accent1"/>
            </w:tcBorders>
            <w:shd w:val="clear" w:color="auto" w:fill="BDD6EE" w:themeFill="accent1" w:themeFillTint="66"/>
            <w:vAlign w:val="center"/>
            <w:hideMark/>
          </w:tcPr>
          <w:p w:rsidR="004B46E9" w:rsidRPr="00D1550C" w:rsidRDefault="004B46E9" w:rsidP="007F6743">
            <w:pPr>
              <w:jc w:val="center"/>
              <w:rPr>
                <w:b/>
              </w:rPr>
            </w:pPr>
            <w:r w:rsidRPr="00D1550C">
              <w:rPr>
                <w:b/>
              </w:rPr>
              <w:t>TOTAL</w:t>
            </w:r>
          </w:p>
        </w:tc>
      </w:tr>
      <w:tr w:rsidR="00024C49" w:rsidRPr="00D1550C" w:rsidTr="00760DB9">
        <w:trPr>
          <w:gridAfter w:val="1"/>
          <w:wAfter w:w="90" w:type="dxa"/>
          <w:trHeight w:val="399"/>
        </w:trPr>
        <w:tc>
          <w:tcPr>
            <w:tcW w:w="4819" w:type="dxa"/>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991"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1 491,6</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1 369,6</w:t>
            </w:r>
          </w:p>
        </w:tc>
        <w:tc>
          <w:tcPr>
            <w:tcW w:w="992" w:type="dxa"/>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843,7</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665,2</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293,3</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245,8</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138,4</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151,1</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134,0</w:t>
            </w:r>
          </w:p>
        </w:tc>
        <w:tc>
          <w:tcPr>
            <w:tcW w:w="1038"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5 332,7</w:t>
            </w:r>
          </w:p>
        </w:tc>
      </w:tr>
      <w:tr w:rsidR="00024C49" w:rsidRPr="00D1550C" w:rsidTr="00760DB9">
        <w:trPr>
          <w:gridAfter w:val="1"/>
          <w:wAfter w:w="90" w:type="dxa"/>
          <w:trHeight w:val="349"/>
        </w:trPr>
        <w:tc>
          <w:tcPr>
            <w:tcW w:w="4819" w:type="dxa"/>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991"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038"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r>
      <w:tr w:rsidR="00024C49" w:rsidRPr="00D1550C" w:rsidTr="00760DB9">
        <w:trPr>
          <w:gridAfter w:val="1"/>
          <w:wAfter w:w="90" w:type="dxa"/>
          <w:trHeight w:val="314"/>
        </w:trPr>
        <w:tc>
          <w:tcPr>
            <w:tcW w:w="4819" w:type="dxa"/>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991"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48,1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94,0</w:t>
            </w:r>
          </w:p>
        </w:tc>
        <w:tc>
          <w:tcPr>
            <w:tcW w:w="992" w:type="dxa"/>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94,1</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9,0</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9,0</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038"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254,2</w:t>
            </w:r>
          </w:p>
        </w:tc>
      </w:tr>
      <w:tr w:rsidR="00024C49" w:rsidRPr="00D1550C" w:rsidTr="00760DB9">
        <w:trPr>
          <w:gridAfter w:val="1"/>
          <w:wAfter w:w="90" w:type="dxa"/>
          <w:trHeight w:val="545"/>
        </w:trPr>
        <w:tc>
          <w:tcPr>
            <w:tcW w:w="4819" w:type="dxa"/>
            <w:shd w:val="clear" w:color="auto" w:fill="auto"/>
            <w:vAlign w:val="center"/>
            <w:hideMark/>
          </w:tcPr>
          <w:p w:rsidR="00024C49" w:rsidRPr="00D1550C" w:rsidRDefault="00024C49" w:rsidP="00024C49">
            <w:pPr>
              <w:rPr>
                <w:rFonts w:cs="Calibri"/>
              </w:rPr>
            </w:pPr>
            <w:r w:rsidRPr="00D1550C">
              <w:rPr>
                <w:rFonts w:cs="Calibri"/>
              </w:rPr>
              <w:t>Official sources (Governments and international institutions)</w:t>
            </w:r>
          </w:p>
        </w:tc>
        <w:tc>
          <w:tcPr>
            <w:tcW w:w="991"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82,4</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84,7</w:t>
            </w:r>
          </w:p>
        </w:tc>
        <w:tc>
          <w:tcPr>
            <w:tcW w:w="992" w:type="dxa"/>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101,0</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23,5</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4,6</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3,6</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3,5</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6,5</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038"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309,8</w:t>
            </w:r>
          </w:p>
        </w:tc>
      </w:tr>
      <w:tr w:rsidR="00024C49" w:rsidRPr="00D1550C" w:rsidTr="00760DB9">
        <w:trPr>
          <w:gridAfter w:val="1"/>
          <w:wAfter w:w="90" w:type="dxa"/>
          <w:trHeight w:val="545"/>
        </w:trPr>
        <w:tc>
          <w:tcPr>
            <w:tcW w:w="4819" w:type="dxa"/>
            <w:shd w:val="clear" w:color="auto" w:fill="auto"/>
            <w:vAlign w:val="center"/>
          </w:tcPr>
          <w:p w:rsidR="00024C49" w:rsidRPr="00D1550C" w:rsidRDefault="00024C49" w:rsidP="00024C49">
            <w:pPr>
              <w:rPr>
                <w:rFonts w:cs="Calibri"/>
              </w:rPr>
            </w:pPr>
            <w:r w:rsidRPr="00D1550C">
              <w:rPr>
                <w:rFonts w:cs="Calibri"/>
              </w:rPr>
              <w:t>International Bonds</w:t>
            </w:r>
          </w:p>
        </w:tc>
        <w:tc>
          <w:tcPr>
            <w:tcW w:w="991"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374,0</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600,0</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038"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974,0</w:t>
            </w:r>
          </w:p>
        </w:tc>
      </w:tr>
      <w:tr w:rsidR="00024C49" w:rsidRPr="00D1550C" w:rsidTr="00760DB9">
        <w:trPr>
          <w:gridAfter w:val="1"/>
          <w:wAfter w:w="90" w:type="dxa"/>
          <w:trHeight w:val="255"/>
        </w:trPr>
        <w:tc>
          <w:tcPr>
            <w:tcW w:w="4819" w:type="dxa"/>
            <w:tcBorders>
              <w:bottom w:val="single" w:sz="4" w:space="0" w:color="5B9BD5" w:themeColor="accent1"/>
            </w:tcBorders>
            <w:shd w:val="clear" w:color="auto" w:fill="BDD6EE" w:themeFill="accent1" w:themeFillTint="66"/>
            <w:noWrap/>
            <w:vAlign w:val="center"/>
            <w:hideMark/>
          </w:tcPr>
          <w:p w:rsidR="00024C49" w:rsidRPr="00D1550C" w:rsidRDefault="00024C49" w:rsidP="00024C49">
            <w:pPr>
              <w:jc w:val="center"/>
              <w:rPr>
                <w:rFonts w:cs="Calibri"/>
              </w:rPr>
            </w:pPr>
            <w:r w:rsidRPr="00D1550C">
              <w:rPr>
                <w:rFonts w:cs="Calibri"/>
              </w:rPr>
              <w:t>TOTAL</w:t>
            </w:r>
          </w:p>
        </w:tc>
        <w:tc>
          <w:tcPr>
            <w:tcW w:w="991" w:type="dxa"/>
            <w:gridSpan w:val="2"/>
            <w:tcBorders>
              <w:bottom w:val="single" w:sz="4" w:space="0" w:color="5B9BD5" w:themeColor="accent1"/>
              <w:right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1 622,1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1 548,3</w:t>
            </w:r>
          </w:p>
        </w:tc>
        <w:tc>
          <w:tcPr>
            <w:tcW w:w="992" w:type="dxa"/>
            <w:tcBorders>
              <w:left w:val="single" w:sz="4" w:space="0" w:color="5B9BD5"/>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1 038,9</w:t>
            </w:r>
          </w:p>
        </w:tc>
        <w:tc>
          <w:tcPr>
            <w:tcW w:w="992"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1 071,7</w:t>
            </w:r>
          </w:p>
        </w:tc>
        <w:tc>
          <w:tcPr>
            <w:tcW w:w="992"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897,9</w:t>
            </w:r>
          </w:p>
        </w:tc>
        <w:tc>
          <w:tcPr>
            <w:tcW w:w="993"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258,4</w:t>
            </w:r>
          </w:p>
        </w:tc>
        <w:tc>
          <w:tcPr>
            <w:tcW w:w="992"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141,9</w:t>
            </w:r>
          </w:p>
        </w:tc>
        <w:tc>
          <w:tcPr>
            <w:tcW w:w="992" w:type="dxa"/>
            <w:gridSpan w:val="2"/>
            <w:tcBorders>
              <w:bottom w:val="single" w:sz="4" w:space="0" w:color="5B9BD5" w:themeColor="accent1"/>
            </w:tcBorders>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157,6</w:t>
            </w:r>
          </w:p>
        </w:tc>
        <w:tc>
          <w:tcPr>
            <w:tcW w:w="992"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134,0</w:t>
            </w:r>
          </w:p>
        </w:tc>
        <w:tc>
          <w:tcPr>
            <w:tcW w:w="1038" w:type="dxa"/>
            <w:tcBorders>
              <w:bottom w:val="single" w:sz="4" w:space="0" w:color="5B9BD5" w:themeColor="accent1"/>
            </w:tcBorders>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6 870,8</w:t>
            </w:r>
          </w:p>
        </w:tc>
      </w:tr>
      <w:tr w:rsidR="004B46E9" w:rsidRPr="00D1550C" w:rsidTr="004B46E9">
        <w:trPr>
          <w:gridAfter w:val="1"/>
          <w:wAfter w:w="90" w:type="dxa"/>
          <w:trHeight w:val="429"/>
        </w:trPr>
        <w:tc>
          <w:tcPr>
            <w:tcW w:w="4819" w:type="dxa"/>
            <w:vMerge w:val="restart"/>
            <w:tcBorders>
              <w:top w:val="single" w:sz="4" w:space="0" w:color="5B9BD5" w:themeColor="accent1"/>
              <w:left w:val="nil"/>
              <w:bottom w:val="nil"/>
              <w:right w:val="nil"/>
            </w:tcBorders>
            <w:shd w:val="clear" w:color="auto" w:fill="auto"/>
            <w:vAlign w:val="bottom"/>
            <w:hideMark/>
          </w:tcPr>
          <w:p w:rsidR="004B46E9" w:rsidRPr="00D1550C" w:rsidRDefault="004B46E9" w:rsidP="006F7BE3">
            <w:pPr>
              <w:rPr>
                <w:b/>
              </w:rPr>
            </w:pPr>
            <w:r w:rsidRPr="00D1550C">
              <w:rPr>
                <w:rFonts w:cs="Calibri"/>
                <w:b/>
              </w:rPr>
              <w:t>Interest</w:t>
            </w:r>
          </w:p>
        </w:tc>
        <w:tc>
          <w:tcPr>
            <w:tcW w:w="991"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jc w:val="center"/>
              <w:rPr>
                <w:b/>
              </w:rPr>
            </w:pPr>
          </w:p>
        </w:tc>
        <w:tc>
          <w:tcPr>
            <w:tcW w:w="993" w:type="dxa"/>
            <w:gridSpan w:val="2"/>
            <w:tcBorders>
              <w:top w:val="single" w:sz="4" w:space="0" w:color="5B9BD5"/>
              <w:left w:val="nil"/>
              <w:bottom w:val="nil"/>
              <w:right w:val="nil"/>
            </w:tcBorders>
            <w:shd w:val="clear" w:color="auto" w:fill="auto"/>
            <w:noWrap/>
            <w:vAlign w:val="bottom"/>
            <w:hideMark/>
          </w:tcPr>
          <w:p w:rsidR="004B46E9" w:rsidRPr="00D1550C" w:rsidRDefault="004B46E9" w:rsidP="006F7BE3">
            <w:pPr>
              <w:rPr>
                <w:b/>
              </w:rPr>
            </w:pPr>
          </w:p>
        </w:tc>
        <w:tc>
          <w:tcPr>
            <w:tcW w:w="992" w:type="dxa"/>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3"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tcPr>
          <w:p w:rsidR="004B46E9" w:rsidRPr="00D1550C" w:rsidRDefault="004B46E9" w:rsidP="006F7BE3">
            <w:pPr>
              <w:rPr>
                <w:b/>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c>
          <w:tcPr>
            <w:tcW w:w="1038" w:type="dxa"/>
            <w:tcBorders>
              <w:top w:val="single" w:sz="4" w:space="0" w:color="5B9BD5" w:themeColor="accent1"/>
              <w:left w:val="nil"/>
              <w:bottom w:val="nil"/>
              <w:right w:val="nil"/>
            </w:tcBorders>
            <w:shd w:val="clear" w:color="auto" w:fill="auto"/>
            <w:noWrap/>
            <w:vAlign w:val="bottom"/>
            <w:hideMark/>
          </w:tcPr>
          <w:p w:rsidR="004B46E9" w:rsidRPr="00D1550C" w:rsidRDefault="004B46E9" w:rsidP="006F7BE3">
            <w:pPr>
              <w:rPr>
                <w:b/>
              </w:rPr>
            </w:pPr>
          </w:p>
        </w:tc>
      </w:tr>
      <w:tr w:rsidR="004B46E9" w:rsidRPr="00D1550C" w:rsidTr="004B46E9">
        <w:trPr>
          <w:gridAfter w:val="1"/>
          <w:wAfter w:w="90" w:type="dxa"/>
          <w:trHeight w:val="80"/>
        </w:trPr>
        <w:tc>
          <w:tcPr>
            <w:tcW w:w="4819" w:type="dxa"/>
            <w:vMerge/>
            <w:tcBorders>
              <w:top w:val="nil"/>
              <w:left w:val="nil"/>
              <w:bottom w:val="single" w:sz="4" w:space="0" w:color="5B9BD5" w:themeColor="accent1"/>
              <w:right w:val="nil"/>
            </w:tcBorders>
            <w:vAlign w:val="center"/>
            <w:hideMark/>
          </w:tcPr>
          <w:p w:rsidR="004B46E9" w:rsidRPr="00D1550C" w:rsidRDefault="004B46E9" w:rsidP="006F7BE3">
            <w:pPr>
              <w:rPr>
                <w:b/>
              </w:rPr>
            </w:pPr>
          </w:p>
        </w:tc>
        <w:tc>
          <w:tcPr>
            <w:tcW w:w="991"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3" w:type="dxa"/>
            <w:gridSpan w:val="2"/>
            <w:tcBorders>
              <w:top w:val="nil"/>
              <w:left w:val="nil"/>
              <w:bottom w:val="single" w:sz="4" w:space="0" w:color="5B9BD5"/>
              <w:right w:val="nil"/>
            </w:tcBorders>
            <w:shd w:val="clear" w:color="auto" w:fill="auto"/>
            <w:noWrap/>
            <w:vAlign w:val="bottom"/>
            <w:hideMark/>
          </w:tcPr>
          <w:p w:rsidR="004B46E9" w:rsidRPr="00D1550C" w:rsidRDefault="004B46E9" w:rsidP="006F7BE3">
            <w:pPr>
              <w:rPr>
                <w:b/>
              </w:rPr>
            </w:pPr>
          </w:p>
        </w:tc>
        <w:tc>
          <w:tcPr>
            <w:tcW w:w="992" w:type="dxa"/>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3"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92" w:type="dxa"/>
            <w:gridSpan w:val="2"/>
            <w:tcBorders>
              <w:top w:val="nil"/>
              <w:left w:val="nil"/>
              <w:bottom w:val="single" w:sz="4" w:space="0" w:color="5B9BD5" w:themeColor="accent1"/>
              <w:right w:val="nil"/>
            </w:tcBorders>
          </w:tcPr>
          <w:p w:rsidR="004B46E9" w:rsidRPr="00D1550C" w:rsidRDefault="004B46E9" w:rsidP="006F7BE3">
            <w:pPr>
              <w:jc w:val="right"/>
              <w:rPr>
                <w:i/>
                <w:sz w:val="20"/>
                <w:szCs w:val="20"/>
              </w:rPr>
            </w:pPr>
          </w:p>
        </w:tc>
        <w:tc>
          <w:tcPr>
            <w:tcW w:w="2030" w:type="dxa"/>
            <w:gridSpan w:val="3"/>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jc w:val="right"/>
              <w:rPr>
                <w:i/>
                <w:sz w:val="20"/>
                <w:szCs w:val="20"/>
              </w:rPr>
            </w:pPr>
            <w:r w:rsidRPr="00D1550C">
              <w:rPr>
                <w:i/>
                <w:sz w:val="20"/>
                <w:szCs w:val="20"/>
              </w:rPr>
              <w:t>(mln. USD)</w:t>
            </w:r>
          </w:p>
        </w:tc>
      </w:tr>
      <w:tr w:rsidR="004B46E9" w:rsidRPr="00D1550C" w:rsidTr="004B46E9">
        <w:trPr>
          <w:gridAfter w:val="1"/>
          <w:wAfter w:w="90" w:type="dxa"/>
          <w:trHeight w:val="380"/>
        </w:trPr>
        <w:tc>
          <w:tcPr>
            <w:tcW w:w="4819" w:type="dxa"/>
            <w:tcBorders>
              <w:top w:val="single" w:sz="4" w:space="0" w:color="5B9BD5" w:themeColor="accent1"/>
            </w:tcBorders>
            <w:shd w:val="clear" w:color="auto" w:fill="BDD6EE" w:themeFill="accent1" w:themeFillTint="66"/>
            <w:noWrap/>
            <w:vAlign w:val="center"/>
            <w:hideMark/>
          </w:tcPr>
          <w:p w:rsidR="004B46E9" w:rsidRPr="00D1550C" w:rsidRDefault="004B46E9" w:rsidP="007F6743">
            <w:pPr>
              <w:rPr>
                <w:rFonts w:cs="Calibri"/>
                <w:b/>
              </w:rPr>
            </w:pPr>
            <w:r w:rsidRPr="00D1550C">
              <w:rPr>
                <w:rFonts w:cs="Calibri"/>
                <w:b/>
              </w:rPr>
              <w:t>Type of creditor</w:t>
            </w:r>
          </w:p>
        </w:tc>
        <w:tc>
          <w:tcPr>
            <w:tcW w:w="991"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2022</w:t>
            </w:r>
          </w:p>
        </w:tc>
        <w:tc>
          <w:tcPr>
            <w:tcW w:w="992" w:type="dxa"/>
            <w:tcBorders>
              <w:top w:val="single" w:sz="4" w:space="0" w:color="5B9BD5" w:themeColor="accent1"/>
              <w:left w:val="single" w:sz="4" w:space="0" w:color="5B9BD5"/>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2024</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2025</w:t>
            </w:r>
          </w:p>
        </w:tc>
        <w:tc>
          <w:tcPr>
            <w:tcW w:w="993"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7F6743">
            <w:pPr>
              <w:jc w:val="center"/>
              <w:rPr>
                <w:rFonts w:asciiTheme="minorHAnsi" w:hAnsiTheme="minorHAnsi" w:cstheme="minorHAnsi"/>
                <w:b/>
              </w:rPr>
            </w:pPr>
            <w:r w:rsidRPr="00D1550C">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4B46E9" w:rsidRPr="00D1550C" w:rsidRDefault="004B46E9" w:rsidP="007F6743">
            <w:pPr>
              <w:jc w:val="center"/>
              <w:rPr>
                <w:rFonts w:cs="Calibri"/>
                <w:b/>
              </w:rPr>
            </w:pPr>
            <w:r w:rsidRPr="00D1550C">
              <w:rPr>
                <w:rFonts w:cs="Calibri"/>
                <w:b/>
              </w:rPr>
              <w:t>2028</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D1550C" w:rsidRDefault="004B46E9" w:rsidP="004B46E9">
            <w:pPr>
              <w:jc w:val="center"/>
              <w:rPr>
                <w:b/>
              </w:rPr>
            </w:pPr>
            <w:r w:rsidRPr="00D1550C">
              <w:rPr>
                <w:rFonts w:cs="Calibri"/>
                <w:b/>
              </w:rPr>
              <w:t>after 2028</w:t>
            </w:r>
          </w:p>
        </w:tc>
        <w:tc>
          <w:tcPr>
            <w:tcW w:w="1038" w:type="dxa"/>
            <w:tcBorders>
              <w:top w:val="single" w:sz="4" w:space="0" w:color="5B9BD5" w:themeColor="accent1"/>
            </w:tcBorders>
            <w:shd w:val="clear" w:color="auto" w:fill="BDD6EE" w:themeFill="accent1" w:themeFillTint="66"/>
            <w:vAlign w:val="center"/>
            <w:hideMark/>
          </w:tcPr>
          <w:p w:rsidR="004B46E9" w:rsidRPr="00D1550C" w:rsidRDefault="004B46E9" w:rsidP="007F6743">
            <w:pPr>
              <w:jc w:val="center"/>
              <w:rPr>
                <w:b/>
              </w:rPr>
            </w:pPr>
            <w:r w:rsidRPr="00D1550C">
              <w:rPr>
                <w:b/>
              </w:rPr>
              <w:t>TOTAL</w:t>
            </w:r>
          </w:p>
        </w:tc>
      </w:tr>
      <w:tr w:rsidR="00024C49" w:rsidRPr="00D1550C" w:rsidTr="00760DB9">
        <w:trPr>
          <w:gridAfter w:val="1"/>
          <w:wAfter w:w="90" w:type="dxa"/>
          <w:trHeight w:val="627"/>
        </w:trPr>
        <w:tc>
          <w:tcPr>
            <w:tcW w:w="4819" w:type="dxa"/>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991"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41,5</w:t>
            </w:r>
          </w:p>
        </w:tc>
        <w:tc>
          <w:tcPr>
            <w:tcW w:w="993" w:type="dxa"/>
            <w:gridSpan w:val="2"/>
            <w:tcBorders>
              <w:top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5,6</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0,6</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1038"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47,7</w:t>
            </w:r>
          </w:p>
        </w:tc>
      </w:tr>
      <w:tr w:rsidR="00024C49" w:rsidRPr="00D1550C" w:rsidTr="00760DB9">
        <w:trPr>
          <w:gridAfter w:val="1"/>
          <w:wAfter w:w="90" w:type="dxa"/>
          <w:trHeight w:val="510"/>
        </w:trPr>
        <w:tc>
          <w:tcPr>
            <w:tcW w:w="4819" w:type="dxa"/>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991"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038"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r>
      <w:tr w:rsidR="00024C49" w:rsidRPr="00D1550C" w:rsidTr="00760DB9">
        <w:trPr>
          <w:gridAfter w:val="1"/>
          <w:wAfter w:w="90" w:type="dxa"/>
          <w:trHeight w:val="317"/>
        </w:trPr>
        <w:tc>
          <w:tcPr>
            <w:tcW w:w="4819" w:type="dxa"/>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991"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4,1</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0,2</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038"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4,3</w:t>
            </w:r>
          </w:p>
        </w:tc>
      </w:tr>
      <w:tr w:rsidR="00024C49" w:rsidRPr="00D1550C" w:rsidTr="00760DB9">
        <w:trPr>
          <w:gridAfter w:val="1"/>
          <w:wAfter w:w="90" w:type="dxa"/>
          <w:trHeight w:val="691"/>
        </w:trPr>
        <w:tc>
          <w:tcPr>
            <w:tcW w:w="4819" w:type="dxa"/>
            <w:shd w:val="clear" w:color="auto" w:fill="auto"/>
            <w:vAlign w:val="center"/>
            <w:hideMark/>
          </w:tcPr>
          <w:p w:rsidR="00024C49" w:rsidRPr="00D1550C" w:rsidRDefault="00024C49" w:rsidP="00024C49">
            <w:pPr>
              <w:rPr>
                <w:rFonts w:cs="Calibri"/>
              </w:rPr>
            </w:pPr>
            <w:r w:rsidRPr="00D1550C">
              <w:rPr>
                <w:rFonts w:cs="Calibri"/>
              </w:rPr>
              <w:t>Official sources (Governments and international institutions)</w:t>
            </w:r>
          </w:p>
        </w:tc>
        <w:tc>
          <w:tcPr>
            <w:tcW w:w="991"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1,7</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0,8</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0,1</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038"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2,7</w:t>
            </w:r>
          </w:p>
        </w:tc>
      </w:tr>
      <w:tr w:rsidR="00024C49" w:rsidRPr="00D1550C" w:rsidTr="00760DB9">
        <w:trPr>
          <w:gridAfter w:val="1"/>
          <w:wAfter w:w="90" w:type="dxa"/>
          <w:trHeight w:val="255"/>
        </w:trPr>
        <w:tc>
          <w:tcPr>
            <w:tcW w:w="4819" w:type="dxa"/>
            <w:shd w:val="clear" w:color="auto" w:fill="BDD6EE" w:themeFill="accent1" w:themeFillTint="66"/>
            <w:noWrap/>
            <w:vAlign w:val="center"/>
            <w:hideMark/>
          </w:tcPr>
          <w:p w:rsidR="00024C49" w:rsidRPr="00D1550C" w:rsidRDefault="00024C49" w:rsidP="00024C49">
            <w:pPr>
              <w:jc w:val="center"/>
              <w:rPr>
                <w:rFonts w:cs="Calibri"/>
              </w:rPr>
            </w:pPr>
            <w:r w:rsidRPr="00D1550C">
              <w:rPr>
                <w:rFonts w:cs="Calibri"/>
              </w:rPr>
              <w:t>TOTAL</w:t>
            </w:r>
          </w:p>
        </w:tc>
        <w:tc>
          <w:tcPr>
            <w:tcW w:w="991"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47,3</w:t>
            </w:r>
          </w:p>
        </w:tc>
        <w:tc>
          <w:tcPr>
            <w:tcW w:w="993"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6,6</w:t>
            </w:r>
          </w:p>
        </w:tc>
        <w:tc>
          <w:tcPr>
            <w:tcW w:w="992"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0,7</w:t>
            </w:r>
          </w:p>
        </w:tc>
        <w:tc>
          <w:tcPr>
            <w:tcW w:w="992"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992"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993"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992"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992" w:type="dxa"/>
            <w:gridSpan w:val="2"/>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992"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0,0</w:t>
            </w:r>
          </w:p>
        </w:tc>
        <w:tc>
          <w:tcPr>
            <w:tcW w:w="1038" w:type="dxa"/>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54,6</w:t>
            </w:r>
          </w:p>
        </w:tc>
      </w:tr>
    </w:tbl>
    <w:p w:rsidR="009304D9" w:rsidRPr="00D1550C" w:rsidRDefault="009304D9" w:rsidP="009304D9">
      <w:pPr>
        <w:pStyle w:val="af2"/>
        <w:keepNext/>
        <w:ind w:right="-31"/>
        <w:jc w:val="right"/>
        <w:rPr>
          <w:iCs w:val="0"/>
          <w:color w:val="auto"/>
          <w:sz w:val="22"/>
          <w:szCs w:val="22"/>
        </w:rPr>
      </w:pPr>
      <w:r w:rsidRPr="00D1550C">
        <w:rPr>
          <w:sz w:val="22"/>
          <w:szCs w:val="22"/>
        </w:rPr>
        <w:br w:type="page"/>
      </w:r>
      <w:r w:rsidR="00A11907" w:rsidRPr="00D1550C">
        <w:rPr>
          <w:iCs w:val="0"/>
          <w:color w:val="auto"/>
          <w:sz w:val="22"/>
          <w:szCs w:val="22"/>
        </w:rPr>
        <w:lastRenderedPageBreak/>
        <w:t>Addenda 1</w:t>
      </w:r>
      <w:r w:rsidR="007F6743" w:rsidRPr="00D1550C">
        <w:rPr>
          <w:iCs w:val="0"/>
          <w:color w:val="auto"/>
          <w:sz w:val="22"/>
          <w:szCs w:val="22"/>
        </w:rPr>
        <w:t>4</w:t>
      </w:r>
      <w:r w:rsidR="00A11907" w:rsidRPr="00D1550C">
        <w:rPr>
          <w:iCs w:val="0"/>
          <w:color w:val="auto"/>
          <w:sz w:val="22"/>
          <w:szCs w:val="22"/>
        </w:rPr>
        <w:t>.5</w:t>
      </w:r>
    </w:p>
    <w:p w:rsidR="009304D9" w:rsidRPr="00D1550C" w:rsidRDefault="009304D9" w:rsidP="009304D9">
      <w:pPr>
        <w:jc w:val="center"/>
        <w:rPr>
          <w:b/>
        </w:rPr>
      </w:pPr>
    </w:p>
    <w:p w:rsidR="009304D9" w:rsidRPr="00D1550C" w:rsidRDefault="009304D9" w:rsidP="009304D9">
      <w:pPr>
        <w:jc w:val="center"/>
        <w:rPr>
          <w:b/>
        </w:rPr>
      </w:pPr>
      <w:r w:rsidRPr="00D1550C">
        <w:rPr>
          <w:rFonts w:cs="Calibri"/>
          <w:b/>
          <w:sz w:val="26"/>
          <w:szCs w:val="26"/>
        </w:rPr>
        <w:t xml:space="preserve">INFORMATION ON RECEIPTS AND PAYMENTS OF PRIVATE EXTERNAL DEBT </w:t>
      </w:r>
      <w:r w:rsidR="003747C9" w:rsidRPr="00D1550C">
        <w:rPr>
          <w:rFonts w:cs="Calibri"/>
          <w:b/>
          <w:sz w:val="26"/>
          <w:szCs w:val="26"/>
        </w:rPr>
        <w:t xml:space="preserve">IN THE FIRST </w:t>
      </w:r>
      <w:r w:rsidR="00685BCE" w:rsidRPr="00D1550C">
        <w:rPr>
          <w:rFonts w:cs="Calibri"/>
          <w:b/>
          <w:sz w:val="26"/>
          <w:szCs w:val="26"/>
        </w:rPr>
        <w:t>HALF</w:t>
      </w:r>
      <w:r w:rsidR="003747C9" w:rsidRPr="00D1550C">
        <w:rPr>
          <w:rFonts w:cs="Calibri"/>
          <w:b/>
          <w:sz w:val="26"/>
          <w:szCs w:val="26"/>
        </w:rPr>
        <w:t xml:space="preserve"> OF</w:t>
      </w:r>
      <w:r w:rsidRPr="00D1550C">
        <w:rPr>
          <w:rFonts w:cs="Calibri"/>
          <w:b/>
          <w:sz w:val="26"/>
          <w:szCs w:val="26"/>
        </w:rPr>
        <w:t xml:space="preserve"> 20</w:t>
      </w:r>
      <w:r w:rsidR="00C0577E" w:rsidRPr="00D1550C">
        <w:rPr>
          <w:rFonts w:cs="Calibri"/>
          <w:b/>
          <w:sz w:val="26"/>
          <w:szCs w:val="26"/>
        </w:rPr>
        <w:t>2</w:t>
      </w:r>
      <w:r w:rsidR="003747C9" w:rsidRPr="00D1550C">
        <w:rPr>
          <w:rFonts w:cs="Calibri"/>
          <w:b/>
          <w:sz w:val="26"/>
          <w:szCs w:val="26"/>
        </w:rPr>
        <w:t>1</w:t>
      </w:r>
      <w:r w:rsidRPr="00D1550C">
        <w:rPr>
          <w:rFonts w:cs="Calibri"/>
          <w:b/>
          <w:sz w:val="26"/>
          <w:szCs w:val="26"/>
        </w:rPr>
        <w:br/>
      </w:r>
      <w:r w:rsidRPr="00D1550C">
        <w:rPr>
          <w:rFonts w:cs="Calibri"/>
          <w:i/>
        </w:rPr>
        <w:t>(Type of borrower: enterprises with direct investments)</w:t>
      </w:r>
    </w:p>
    <w:p w:rsidR="009304D9" w:rsidRPr="00D1550C" w:rsidRDefault="009304D9" w:rsidP="009304D9">
      <w:pPr>
        <w:ind w:right="111"/>
        <w:jc w:val="right"/>
        <w:rPr>
          <w:i/>
          <w:sz w:val="20"/>
          <w:szCs w:val="20"/>
        </w:rPr>
      </w:pPr>
      <w:r w:rsidRPr="00D1550C">
        <w:rPr>
          <w:i/>
          <w:sz w:val="20"/>
          <w:szCs w:val="20"/>
        </w:rPr>
        <w:t xml:space="preserve"> (mln.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369"/>
        <w:gridCol w:w="1701"/>
        <w:gridCol w:w="1577"/>
        <w:gridCol w:w="1487"/>
        <w:gridCol w:w="1613"/>
        <w:gridCol w:w="1701"/>
        <w:gridCol w:w="1843"/>
        <w:gridCol w:w="1701"/>
      </w:tblGrid>
      <w:tr w:rsidR="009304D9" w:rsidRPr="00D1550C" w:rsidTr="00832C1D">
        <w:trPr>
          <w:trHeight w:val="255"/>
        </w:trPr>
        <w:tc>
          <w:tcPr>
            <w:tcW w:w="3369" w:type="dxa"/>
            <w:vMerge w:val="restart"/>
            <w:shd w:val="clear" w:color="auto" w:fill="BDD6EE" w:themeFill="accent1" w:themeFillTint="66"/>
            <w:vAlign w:val="center"/>
            <w:hideMark/>
          </w:tcPr>
          <w:p w:rsidR="009304D9" w:rsidRPr="00D1550C" w:rsidRDefault="009304D9" w:rsidP="006F7BE3">
            <w:pPr>
              <w:jc w:val="center"/>
              <w:rPr>
                <w:b/>
              </w:rPr>
            </w:pPr>
            <w:r w:rsidRPr="00D1550C">
              <w:rPr>
                <w:rFonts w:cs="Calibri"/>
                <w:b/>
              </w:rPr>
              <w:t>Type of creditor</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rFonts w:cs="Calibri"/>
                <w:b/>
              </w:rPr>
            </w:pPr>
            <w:r w:rsidRPr="00D1550C">
              <w:rPr>
                <w:rFonts w:cs="Calibri"/>
                <w:b/>
              </w:rPr>
              <w:t>period</w:t>
            </w:r>
          </w:p>
        </w:tc>
        <w:tc>
          <w:tcPr>
            <w:tcW w:w="8221" w:type="dxa"/>
            <w:gridSpan w:val="5"/>
            <w:shd w:val="clear" w:color="auto" w:fill="BDD6EE" w:themeFill="accent1" w:themeFillTint="66"/>
            <w:noWrap/>
            <w:vAlign w:val="center"/>
            <w:hideMark/>
          </w:tcPr>
          <w:p w:rsidR="009304D9" w:rsidRPr="00D1550C" w:rsidRDefault="009304D9" w:rsidP="006F7BE3">
            <w:pPr>
              <w:jc w:val="center"/>
              <w:rPr>
                <w:rFonts w:cs="Calibri"/>
                <w:b/>
              </w:rPr>
            </w:pPr>
            <w:r w:rsidRPr="00D1550C">
              <w:rPr>
                <w:rFonts w:cs="Calibri"/>
                <w:b/>
              </w:rPr>
              <w:t>Dynamics during the period</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End of period</w:t>
            </w:r>
          </w:p>
        </w:tc>
      </w:tr>
      <w:tr w:rsidR="009304D9" w:rsidRPr="00D1550C" w:rsidTr="00832C1D">
        <w:trPr>
          <w:trHeight w:val="510"/>
        </w:trPr>
        <w:tc>
          <w:tcPr>
            <w:tcW w:w="3369" w:type="dxa"/>
            <w:vMerge/>
            <w:shd w:val="clear" w:color="auto" w:fill="BDD6EE" w:themeFill="accent1" w:themeFillTint="66"/>
            <w:vAlign w:val="center"/>
            <w:hideMark/>
          </w:tcPr>
          <w:p w:rsidR="009304D9" w:rsidRPr="00D1550C" w:rsidRDefault="009304D9" w:rsidP="006F7BE3">
            <w:pPr>
              <w:rPr>
                <w:b/>
              </w:rPr>
            </w:pP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c>
          <w:tcPr>
            <w:tcW w:w="1577"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Receipts</w:t>
            </w:r>
          </w:p>
        </w:tc>
        <w:tc>
          <w:tcPr>
            <w:tcW w:w="1487"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Repayment of</w:t>
            </w:r>
          </w:p>
          <w:p w:rsidR="009304D9" w:rsidRPr="00D1550C" w:rsidRDefault="009304D9" w:rsidP="006F7BE3">
            <w:pPr>
              <w:jc w:val="center"/>
              <w:rPr>
                <w:rFonts w:cs="Calibri"/>
                <w:b/>
              </w:rPr>
            </w:pPr>
            <w:r w:rsidRPr="00D1550C">
              <w:rPr>
                <w:rFonts w:cs="Calibri"/>
                <w:b/>
              </w:rPr>
              <w:t>principal debt</w:t>
            </w:r>
          </w:p>
        </w:tc>
        <w:tc>
          <w:tcPr>
            <w:tcW w:w="161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principal debt </w:t>
            </w:r>
          </w:p>
          <w:p w:rsidR="009304D9" w:rsidRPr="00D1550C" w:rsidRDefault="009304D9" w:rsidP="006F7BE3">
            <w:pPr>
              <w:jc w:val="center"/>
              <w:rPr>
                <w:rFonts w:cs="Calibri"/>
                <w:b/>
              </w:rPr>
            </w:pPr>
            <w:r w:rsidRPr="00D1550C">
              <w:rPr>
                <w:rFonts w:cs="Calibri"/>
                <w:b/>
              </w:rPr>
              <w:t>payments</w:t>
            </w:r>
          </w:p>
        </w:tc>
        <w:tc>
          <w:tcPr>
            <w:tcW w:w="184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r>
      <w:tr w:rsidR="009304D9" w:rsidRPr="00D1550C" w:rsidTr="004817AF">
        <w:trPr>
          <w:trHeight w:val="255"/>
        </w:trPr>
        <w:tc>
          <w:tcPr>
            <w:tcW w:w="3369" w:type="dxa"/>
            <w:shd w:val="clear" w:color="auto" w:fill="auto"/>
            <w:noWrap/>
            <w:vAlign w:val="center"/>
            <w:hideMark/>
          </w:tcPr>
          <w:p w:rsidR="009304D9" w:rsidRPr="00D1550C" w:rsidRDefault="009304D9" w:rsidP="006F7BE3">
            <w:pPr>
              <w:jc w:val="center"/>
            </w:pPr>
            <w:r w:rsidRPr="00D1550C">
              <w:t>1</w:t>
            </w:r>
          </w:p>
        </w:tc>
        <w:tc>
          <w:tcPr>
            <w:tcW w:w="1701" w:type="dxa"/>
            <w:shd w:val="clear" w:color="auto" w:fill="auto"/>
            <w:noWrap/>
            <w:vAlign w:val="center"/>
            <w:hideMark/>
          </w:tcPr>
          <w:p w:rsidR="009304D9" w:rsidRPr="00D1550C" w:rsidRDefault="009304D9" w:rsidP="006F7BE3">
            <w:pPr>
              <w:jc w:val="center"/>
            </w:pPr>
            <w:r w:rsidRPr="00D1550C">
              <w:t>2</w:t>
            </w:r>
          </w:p>
        </w:tc>
        <w:tc>
          <w:tcPr>
            <w:tcW w:w="1577" w:type="dxa"/>
            <w:shd w:val="clear" w:color="auto" w:fill="auto"/>
            <w:noWrap/>
            <w:vAlign w:val="center"/>
            <w:hideMark/>
          </w:tcPr>
          <w:p w:rsidR="009304D9" w:rsidRPr="00D1550C" w:rsidRDefault="009304D9" w:rsidP="006F7BE3">
            <w:pPr>
              <w:jc w:val="center"/>
            </w:pPr>
            <w:r w:rsidRPr="00D1550C">
              <w:t>3</w:t>
            </w:r>
          </w:p>
        </w:tc>
        <w:tc>
          <w:tcPr>
            <w:tcW w:w="1487" w:type="dxa"/>
            <w:shd w:val="clear" w:color="auto" w:fill="auto"/>
            <w:noWrap/>
            <w:vAlign w:val="center"/>
            <w:hideMark/>
          </w:tcPr>
          <w:p w:rsidR="009304D9" w:rsidRPr="00D1550C" w:rsidRDefault="009304D9" w:rsidP="006F7BE3">
            <w:pPr>
              <w:jc w:val="center"/>
            </w:pPr>
            <w:r w:rsidRPr="00D1550C">
              <w:t>4</w:t>
            </w:r>
          </w:p>
        </w:tc>
        <w:tc>
          <w:tcPr>
            <w:tcW w:w="1613" w:type="dxa"/>
            <w:shd w:val="clear" w:color="auto" w:fill="auto"/>
            <w:noWrap/>
            <w:vAlign w:val="center"/>
            <w:hideMark/>
          </w:tcPr>
          <w:p w:rsidR="009304D9" w:rsidRPr="00D1550C" w:rsidRDefault="009304D9" w:rsidP="006F7BE3">
            <w:pPr>
              <w:jc w:val="center"/>
            </w:pPr>
            <w:r w:rsidRPr="00D1550C">
              <w:t>5</w:t>
            </w:r>
          </w:p>
        </w:tc>
        <w:tc>
          <w:tcPr>
            <w:tcW w:w="1701" w:type="dxa"/>
            <w:shd w:val="clear" w:color="auto" w:fill="auto"/>
            <w:noWrap/>
            <w:vAlign w:val="center"/>
            <w:hideMark/>
          </w:tcPr>
          <w:p w:rsidR="009304D9" w:rsidRPr="00D1550C" w:rsidRDefault="009304D9" w:rsidP="006F7BE3">
            <w:pPr>
              <w:jc w:val="center"/>
            </w:pPr>
            <w:r w:rsidRPr="00D1550C">
              <w:t>6</w:t>
            </w:r>
          </w:p>
        </w:tc>
        <w:tc>
          <w:tcPr>
            <w:tcW w:w="1843" w:type="dxa"/>
            <w:shd w:val="clear" w:color="auto" w:fill="auto"/>
            <w:noWrap/>
            <w:vAlign w:val="center"/>
            <w:hideMark/>
          </w:tcPr>
          <w:p w:rsidR="009304D9" w:rsidRPr="00D1550C" w:rsidRDefault="009304D9" w:rsidP="006F7BE3">
            <w:pPr>
              <w:jc w:val="center"/>
            </w:pPr>
            <w:r w:rsidRPr="00D1550C">
              <w:t>7</w:t>
            </w:r>
          </w:p>
        </w:tc>
        <w:tc>
          <w:tcPr>
            <w:tcW w:w="1701" w:type="dxa"/>
            <w:shd w:val="clear" w:color="auto" w:fill="auto"/>
            <w:noWrap/>
            <w:vAlign w:val="center"/>
            <w:hideMark/>
          </w:tcPr>
          <w:p w:rsidR="009304D9" w:rsidRPr="00D1550C" w:rsidRDefault="009304D9" w:rsidP="006F7BE3">
            <w:pPr>
              <w:jc w:val="center"/>
            </w:pPr>
            <w:r w:rsidRPr="00D1550C">
              <w:t>8</w:t>
            </w:r>
          </w:p>
        </w:tc>
      </w:tr>
      <w:tr w:rsidR="00024C49" w:rsidRPr="00D1550C" w:rsidTr="003747C9">
        <w:trPr>
          <w:trHeight w:val="765"/>
        </w:trPr>
        <w:tc>
          <w:tcPr>
            <w:tcW w:w="3369" w:type="dxa"/>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3 356,0</w:t>
            </w:r>
          </w:p>
        </w:tc>
        <w:tc>
          <w:tcPr>
            <w:tcW w:w="1577"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68,6</w:t>
            </w:r>
          </w:p>
        </w:tc>
        <w:tc>
          <w:tcPr>
            <w:tcW w:w="1487"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474,6</w:t>
            </w:r>
          </w:p>
        </w:tc>
        <w:tc>
          <w:tcPr>
            <w:tcW w:w="161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56,7</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2 948,5</w:t>
            </w:r>
          </w:p>
        </w:tc>
      </w:tr>
      <w:tr w:rsidR="00024C49" w:rsidRPr="00D1550C" w:rsidTr="003747C9">
        <w:trPr>
          <w:trHeight w:val="510"/>
        </w:trPr>
        <w:tc>
          <w:tcPr>
            <w:tcW w:w="3369" w:type="dxa"/>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918,4</w:t>
            </w:r>
          </w:p>
        </w:tc>
        <w:tc>
          <w:tcPr>
            <w:tcW w:w="1577"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245,7</w:t>
            </w:r>
          </w:p>
        </w:tc>
        <w:tc>
          <w:tcPr>
            <w:tcW w:w="1487"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51,7</w:t>
            </w:r>
          </w:p>
        </w:tc>
        <w:tc>
          <w:tcPr>
            <w:tcW w:w="161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1,4</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1 099,8</w:t>
            </w:r>
          </w:p>
        </w:tc>
      </w:tr>
      <w:tr w:rsidR="00024C49" w:rsidRPr="00D1550C" w:rsidTr="003747C9">
        <w:trPr>
          <w:trHeight w:val="510"/>
        </w:trPr>
        <w:tc>
          <w:tcPr>
            <w:tcW w:w="3369" w:type="dxa"/>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214,6</w:t>
            </w:r>
          </w:p>
        </w:tc>
        <w:tc>
          <w:tcPr>
            <w:tcW w:w="1577"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76,9</w:t>
            </w:r>
          </w:p>
        </w:tc>
        <w:tc>
          <w:tcPr>
            <w:tcW w:w="1487"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w:t>
            </w:r>
          </w:p>
        </w:tc>
        <w:tc>
          <w:tcPr>
            <w:tcW w:w="161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257,5</w:t>
            </w:r>
          </w:p>
        </w:tc>
      </w:tr>
      <w:tr w:rsidR="00024C49" w:rsidRPr="00D1550C" w:rsidTr="003747C9">
        <w:trPr>
          <w:trHeight w:val="1020"/>
        </w:trPr>
        <w:tc>
          <w:tcPr>
            <w:tcW w:w="3369" w:type="dxa"/>
            <w:shd w:val="clear" w:color="auto" w:fill="auto"/>
            <w:vAlign w:val="center"/>
            <w:hideMark/>
          </w:tcPr>
          <w:p w:rsidR="00024C49" w:rsidRPr="00D1550C" w:rsidRDefault="00024C49" w:rsidP="00024C49">
            <w:pPr>
              <w:rPr>
                <w:rFonts w:cs="Calibri"/>
              </w:rPr>
            </w:pPr>
            <w:r w:rsidRPr="00D1550C">
              <w:rPr>
                <w:rFonts w:cs="Calibri"/>
              </w:rPr>
              <w:t>Official sources (Governments and international institutions)</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93,3</w:t>
            </w:r>
          </w:p>
        </w:tc>
        <w:tc>
          <w:tcPr>
            <w:tcW w:w="1577"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487"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10,4</w:t>
            </w:r>
          </w:p>
        </w:tc>
        <w:tc>
          <w:tcPr>
            <w:tcW w:w="161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2,2</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82,9</w:t>
            </w:r>
          </w:p>
        </w:tc>
      </w:tr>
      <w:tr w:rsidR="00024C49" w:rsidRPr="00D1550C" w:rsidTr="003747C9">
        <w:trPr>
          <w:trHeight w:val="387"/>
        </w:trPr>
        <w:tc>
          <w:tcPr>
            <w:tcW w:w="3369" w:type="dxa"/>
            <w:shd w:val="clear" w:color="auto" w:fill="BDD6EE" w:themeFill="accent1" w:themeFillTint="66"/>
            <w:noWrap/>
            <w:vAlign w:val="center"/>
            <w:hideMark/>
          </w:tcPr>
          <w:p w:rsidR="00024C49" w:rsidRPr="00D1550C" w:rsidRDefault="00024C49" w:rsidP="00024C49">
            <w:pPr>
              <w:jc w:val="center"/>
            </w:pPr>
            <w:r w:rsidRPr="00D1550C">
              <w:rPr>
                <w:rFonts w:cs="Calibri"/>
              </w:rPr>
              <w:t>TOTAL</w:t>
            </w:r>
          </w:p>
        </w:tc>
        <w:tc>
          <w:tcPr>
            <w:tcW w:w="1701"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4 582,2</w:t>
            </w:r>
          </w:p>
        </w:tc>
        <w:tc>
          <w:tcPr>
            <w:tcW w:w="1577"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391,2</w:t>
            </w:r>
          </w:p>
        </w:tc>
        <w:tc>
          <w:tcPr>
            <w:tcW w:w="1487"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540,4</w:t>
            </w:r>
          </w:p>
        </w:tc>
        <w:tc>
          <w:tcPr>
            <w:tcW w:w="1613"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61,4</w:t>
            </w:r>
          </w:p>
        </w:tc>
        <w:tc>
          <w:tcPr>
            <w:tcW w:w="1701"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843"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701"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4 388,7</w:t>
            </w:r>
          </w:p>
        </w:tc>
      </w:tr>
    </w:tbl>
    <w:p w:rsidR="009304D9" w:rsidRPr="00D1550C" w:rsidRDefault="009304D9" w:rsidP="009304D9">
      <w:pPr>
        <w:tabs>
          <w:tab w:val="left" w:pos="6255"/>
        </w:tabs>
        <w:ind w:right="-456"/>
        <w:rPr>
          <w:i/>
        </w:rPr>
      </w:pPr>
    </w:p>
    <w:p w:rsidR="009304D9" w:rsidRPr="00D1550C" w:rsidRDefault="009304D9" w:rsidP="009304D9">
      <w:pPr>
        <w:tabs>
          <w:tab w:val="left" w:pos="6255"/>
        </w:tabs>
        <w:ind w:right="-456"/>
        <w:rPr>
          <w:i/>
        </w:rPr>
      </w:pPr>
    </w:p>
    <w:p w:rsidR="009304D9" w:rsidRPr="00D1550C" w:rsidRDefault="009304D9" w:rsidP="009304D9">
      <w:pPr>
        <w:rPr>
          <w:b/>
        </w:rPr>
      </w:pPr>
    </w:p>
    <w:p w:rsidR="009304D9" w:rsidRPr="00D1550C" w:rsidRDefault="009304D9" w:rsidP="009304D9">
      <w:pPr>
        <w:ind w:right="-31"/>
        <w:jc w:val="right"/>
        <w:rPr>
          <w:i/>
          <w:sz w:val="22"/>
          <w:szCs w:val="22"/>
        </w:rPr>
      </w:pPr>
      <w:r w:rsidRPr="00D1550C">
        <w:br w:type="page"/>
      </w:r>
      <w:r w:rsidRPr="00D1550C">
        <w:rPr>
          <w:i/>
          <w:sz w:val="22"/>
          <w:szCs w:val="22"/>
        </w:rPr>
        <w:lastRenderedPageBreak/>
        <w:t>Addenda 1</w:t>
      </w:r>
      <w:r w:rsidR="007F6743" w:rsidRPr="00D1550C">
        <w:rPr>
          <w:i/>
          <w:sz w:val="22"/>
          <w:szCs w:val="22"/>
        </w:rPr>
        <w:t>4</w:t>
      </w:r>
      <w:r w:rsidRPr="00D1550C">
        <w:rPr>
          <w:i/>
          <w:sz w:val="22"/>
          <w:szCs w:val="22"/>
        </w:rPr>
        <w:t>.6</w:t>
      </w:r>
    </w:p>
    <w:p w:rsidR="009304D9" w:rsidRPr="00D1550C" w:rsidRDefault="009304D9" w:rsidP="009304D9">
      <w:pPr>
        <w:jc w:val="center"/>
        <w:rPr>
          <w:rFonts w:cs="Calibri"/>
        </w:rPr>
      </w:pPr>
      <w:r w:rsidRPr="00D1550C">
        <w:rPr>
          <w:rFonts w:cs="Calibri"/>
          <w:b/>
          <w:sz w:val="26"/>
          <w:szCs w:val="26"/>
        </w:rPr>
        <w:t>FORECAST OF FUTURE PAYMENTS OF PRINCIPAL DEBT AND INTEREST</w:t>
      </w:r>
      <w:r w:rsidRPr="00D1550C">
        <w:rPr>
          <w:rFonts w:cs="Calibri"/>
          <w:b/>
          <w:sz w:val="28"/>
        </w:rPr>
        <w:br/>
      </w:r>
      <w:r w:rsidRPr="00D1550C">
        <w:rPr>
          <w:rFonts w:cs="Calibri"/>
          <w:i/>
        </w:rPr>
        <w:t>(Type of borrower: enterprises with direct investments)</w:t>
      </w:r>
    </w:p>
    <w:tbl>
      <w:tblPr>
        <w:tblW w:w="14882"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111"/>
        <w:gridCol w:w="992"/>
        <w:gridCol w:w="31"/>
        <w:gridCol w:w="915"/>
        <w:gridCol w:w="46"/>
        <w:gridCol w:w="864"/>
        <w:gridCol w:w="128"/>
        <w:gridCol w:w="108"/>
        <w:gridCol w:w="885"/>
        <w:gridCol w:w="65"/>
        <w:gridCol w:w="1069"/>
        <w:gridCol w:w="552"/>
        <w:gridCol w:w="582"/>
        <w:gridCol w:w="473"/>
        <w:gridCol w:w="519"/>
        <w:gridCol w:w="395"/>
        <w:gridCol w:w="597"/>
        <w:gridCol w:w="408"/>
        <w:gridCol w:w="726"/>
        <w:gridCol w:w="1275"/>
        <w:gridCol w:w="141"/>
      </w:tblGrid>
      <w:tr w:rsidR="003747C9" w:rsidRPr="00D1550C" w:rsidTr="003747C9">
        <w:trPr>
          <w:trHeight w:val="262"/>
        </w:trPr>
        <w:tc>
          <w:tcPr>
            <w:tcW w:w="4111" w:type="dxa"/>
            <w:tcBorders>
              <w:top w:val="nil"/>
              <w:left w:val="nil"/>
              <w:bottom w:val="single" w:sz="4" w:space="0" w:color="5B9BD5" w:themeColor="accent1"/>
              <w:right w:val="nil"/>
            </w:tcBorders>
            <w:vAlign w:val="center"/>
            <w:hideMark/>
          </w:tcPr>
          <w:p w:rsidR="003747C9" w:rsidRPr="00D1550C" w:rsidRDefault="003747C9" w:rsidP="006F7BE3">
            <w:r w:rsidRPr="00D1550C">
              <w:rPr>
                <w:rFonts w:cs="Calibri"/>
                <w:b/>
                <w:szCs w:val="20"/>
              </w:rPr>
              <w:t>Principal debt</w:t>
            </w:r>
          </w:p>
        </w:tc>
        <w:tc>
          <w:tcPr>
            <w:tcW w:w="1023"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15" w:type="dxa"/>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10"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236"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50" w:type="dxa"/>
            <w:gridSpan w:val="2"/>
            <w:tcBorders>
              <w:top w:val="nil"/>
              <w:left w:val="nil"/>
              <w:bottom w:val="nil"/>
              <w:right w:val="nil"/>
            </w:tcBorders>
            <w:shd w:val="clear" w:color="auto" w:fill="auto"/>
            <w:noWrap/>
            <w:vAlign w:val="bottom"/>
            <w:hideMark/>
          </w:tcPr>
          <w:p w:rsidR="003747C9" w:rsidRPr="00D1550C" w:rsidRDefault="003747C9" w:rsidP="006F7BE3"/>
        </w:tc>
        <w:tc>
          <w:tcPr>
            <w:tcW w:w="1621"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1055"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14"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pPr>
              <w:rPr>
                <w:sz w:val="20"/>
                <w:szCs w:val="20"/>
              </w:rPr>
            </w:pPr>
          </w:p>
        </w:tc>
        <w:tc>
          <w:tcPr>
            <w:tcW w:w="1005" w:type="dxa"/>
            <w:gridSpan w:val="2"/>
            <w:tcBorders>
              <w:top w:val="nil"/>
              <w:left w:val="nil"/>
              <w:bottom w:val="single" w:sz="4" w:space="0" w:color="5B9BD5" w:themeColor="accent1"/>
              <w:right w:val="nil"/>
            </w:tcBorders>
          </w:tcPr>
          <w:p w:rsidR="003747C9" w:rsidRPr="00D1550C" w:rsidRDefault="003747C9" w:rsidP="00B30F70">
            <w:pPr>
              <w:ind w:right="136"/>
              <w:jc w:val="right"/>
              <w:rPr>
                <w:i/>
                <w:sz w:val="20"/>
                <w:szCs w:val="20"/>
              </w:rPr>
            </w:pPr>
          </w:p>
        </w:tc>
        <w:tc>
          <w:tcPr>
            <w:tcW w:w="2142" w:type="dxa"/>
            <w:gridSpan w:val="3"/>
            <w:tcBorders>
              <w:top w:val="nil"/>
              <w:left w:val="nil"/>
              <w:bottom w:val="single" w:sz="4" w:space="0" w:color="5B9BD5" w:themeColor="accent1"/>
              <w:right w:val="nil"/>
            </w:tcBorders>
            <w:shd w:val="clear" w:color="auto" w:fill="auto"/>
            <w:noWrap/>
            <w:vAlign w:val="bottom"/>
            <w:hideMark/>
          </w:tcPr>
          <w:p w:rsidR="003747C9" w:rsidRPr="00D1550C" w:rsidRDefault="003747C9" w:rsidP="00B30F70">
            <w:pPr>
              <w:ind w:right="136"/>
              <w:jc w:val="right"/>
              <w:rPr>
                <w:sz w:val="20"/>
                <w:szCs w:val="20"/>
              </w:rPr>
            </w:pPr>
            <w:r w:rsidRPr="00D1550C">
              <w:rPr>
                <w:i/>
                <w:sz w:val="20"/>
                <w:szCs w:val="20"/>
              </w:rPr>
              <w:t>(mln. USD)</w:t>
            </w:r>
          </w:p>
        </w:tc>
      </w:tr>
      <w:tr w:rsidR="003747C9" w:rsidRPr="00D1550C" w:rsidTr="003747C9">
        <w:trPr>
          <w:gridAfter w:val="1"/>
          <w:wAfter w:w="141" w:type="dxa"/>
          <w:trHeight w:val="255"/>
        </w:trPr>
        <w:tc>
          <w:tcPr>
            <w:tcW w:w="4111" w:type="dxa"/>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cs="Calibri"/>
                <w:b/>
                <w:szCs w:val="20"/>
              </w:rPr>
            </w:pPr>
            <w:r w:rsidRPr="00D1550C">
              <w:rPr>
                <w:rFonts w:cs="Calibri"/>
                <w:b/>
                <w:szCs w:val="20"/>
              </w:rPr>
              <w:t>Type of creditor</w:t>
            </w:r>
          </w:p>
        </w:tc>
        <w:tc>
          <w:tcPr>
            <w:tcW w:w="992" w:type="dxa"/>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2021</w:t>
            </w:r>
          </w:p>
        </w:tc>
        <w:tc>
          <w:tcPr>
            <w:tcW w:w="992" w:type="dxa"/>
            <w:gridSpan w:val="3"/>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2022</w:t>
            </w:r>
          </w:p>
        </w:tc>
        <w:tc>
          <w:tcPr>
            <w:tcW w:w="992"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2023</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3747C9" w:rsidRPr="00D1550C" w:rsidRDefault="003747C9" w:rsidP="009733DE">
            <w:pPr>
              <w:jc w:val="center"/>
              <w:rPr>
                <w:rFonts w:cs="Calibri"/>
                <w:b/>
              </w:rPr>
            </w:pPr>
            <w:r w:rsidRPr="00D1550C">
              <w:rPr>
                <w:rFonts w:cs="Calibri"/>
                <w:b/>
              </w:rPr>
              <w:t>2028</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3747C9">
            <w:pPr>
              <w:jc w:val="center"/>
              <w:rPr>
                <w:b/>
              </w:rPr>
            </w:pPr>
            <w:r w:rsidRPr="00D1550C">
              <w:rPr>
                <w:rFonts w:cs="Calibri"/>
                <w:b/>
              </w:rPr>
              <w:t>after 2028</w:t>
            </w:r>
          </w:p>
        </w:tc>
        <w:tc>
          <w:tcPr>
            <w:tcW w:w="1275" w:type="dxa"/>
            <w:tcBorders>
              <w:top w:val="single" w:sz="4" w:space="0" w:color="5B9BD5" w:themeColor="accent1"/>
            </w:tcBorders>
            <w:shd w:val="clear" w:color="auto" w:fill="BDD6EE" w:themeFill="accent1" w:themeFillTint="66"/>
            <w:vAlign w:val="center"/>
            <w:hideMark/>
          </w:tcPr>
          <w:p w:rsidR="003747C9" w:rsidRPr="00D1550C" w:rsidRDefault="003747C9" w:rsidP="009733DE">
            <w:pPr>
              <w:jc w:val="center"/>
              <w:rPr>
                <w:b/>
              </w:rPr>
            </w:pPr>
            <w:r w:rsidRPr="00D1550C">
              <w:rPr>
                <w:rFonts w:cs="Calibri"/>
                <w:b/>
                <w:szCs w:val="20"/>
              </w:rPr>
              <w:t>TOTAL</w:t>
            </w:r>
          </w:p>
        </w:tc>
      </w:tr>
      <w:tr w:rsidR="00024C49" w:rsidRPr="00D1550C" w:rsidTr="00760DB9">
        <w:trPr>
          <w:gridAfter w:val="1"/>
          <w:wAfter w:w="141" w:type="dxa"/>
          <w:trHeight w:val="629"/>
        </w:trPr>
        <w:tc>
          <w:tcPr>
            <w:tcW w:w="4111" w:type="dxa"/>
            <w:shd w:val="clear" w:color="auto" w:fill="auto"/>
            <w:vAlign w:val="center"/>
            <w:hideMark/>
          </w:tcPr>
          <w:p w:rsidR="00024C49" w:rsidRPr="00D1550C" w:rsidRDefault="00024C49" w:rsidP="00024C49">
            <w:pPr>
              <w:rPr>
                <w:rFonts w:cs="Calibri"/>
                <w:szCs w:val="20"/>
              </w:rPr>
            </w:pPr>
            <w:r w:rsidRPr="00D1550C">
              <w:rPr>
                <w:rFonts w:cs="Calibri"/>
                <w:szCs w:val="20"/>
              </w:rPr>
              <w:t>Foreign banks and other financial institutions</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350,2</w:t>
            </w:r>
          </w:p>
        </w:tc>
        <w:tc>
          <w:tcPr>
            <w:tcW w:w="992"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599,1</w:t>
            </w:r>
          </w:p>
        </w:tc>
        <w:tc>
          <w:tcPr>
            <w:tcW w:w="992"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620,8</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436,6</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298,2</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379,9</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124,5</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117,0</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22,2</w:t>
            </w:r>
          </w:p>
        </w:tc>
        <w:tc>
          <w:tcPr>
            <w:tcW w:w="1275"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2 948,5</w:t>
            </w:r>
          </w:p>
        </w:tc>
      </w:tr>
      <w:tr w:rsidR="00024C49" w:rsidRPr="00D1550C" w:rsidTr="00760DB9">
        <w:trPr>
          <w:gridAfter w:val="1"/>
          <w:wAfter w:w="141" w:type="dxa"/>
          <w:trHeight w:val="510"/>
        </w:trPr>
        <w:tc>
          <w:tcPr>
            <w:tcW w:w="4111" w:type="dxa"/>
            <w:shd w:val="clear" w:color="auto" w:fill="auto"/>
            <w:vAlign w:val="center"/>
            <w:hideMark/>
          </w:tcPr>
          <w:p w:rsidR="00024C49" w:rsidRPr="00D1550C" w:rsidRDefault="00024C49" w:rsidP="00024C49">
            <w:pPr>
              <w:rPr>
                <w:rFonts w:cs="Calibri"/>
                <w:szCs w:val="20"/>
              </w:rPr>
            </w:pPr>
            <w:r w:rsidRPr="00D1550C">
              <w:rPr>
                <w:rFonts w:cs="Calibri"/>
                <w:szCs w:val="20"/>
              </w:rPr>
              <w:t>Foreign parent companies and branches</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342,7</w:t>
            </w:r>
          </w:p>
        </w:tc>
        <w:tc>
          <w:tcPr>
            <w:tcW w:w="992"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444,6</w:t>
            </w:r>
          </w:p>
        </w:tc>
        <w:tc>
          <w:tcPr>
            <w:tcW w:w="992"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140,2</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37,8</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23,8</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5,2</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20,2</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6,8</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78,7</w:t>
            </w:r>
          </w:p>
        </w:tc>
        <w:tc>
          <w:tcPr>
            <w:tcW w:w="1275"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1 099,8</w:t>
            </w:r>
          </w:p>
        </w:tc>
      </w:tr>
      <w:tr w:rsidR="00024C49" w:rsidRPr="00D1550C" w:rsidTr="00760DB9">
        <w:trPr>
          <w:gridAfter w:val="1"/>
          <w:wAfter w:w="141" w:type="dxa"/>
          <w:trHeight w:val="510"/>
        </w:trPr>
        <w:tc>
          <w:tcPr>
            <w:tcW w:w="4111" w:type="dxa"/>
            <w:shd w:val="clear" w:color="auto" w:fill="auto"/>
            <w:vAlign w:val="center"/>
            <w:hideMark/>
          </w:tcPr>
          <w:p w:rsidR="00024C49" w:rsidRPr="00D1550C" w:rsidRDefault="00024C49" w:rsidP="00024C49">
            <w:pPr>
              <w:rPr>
                <w:rFonts w:cs="Calibri"/>
                <w:szCs w:val="20"/>
              </w:rPr>
            </w:pPr>
            <w:r w:rsidRPr="00D1550C">
              <w:rPr>
                <w:rFonts w:cs="Calibri"/>
                <w:szCs w:val="20"/>
              </w:rPr>
              <w:t>Exporters and other private sources</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52,2</w:t>
            </w:r>
          </w:p>
        </w:tc>
        <w:tc>
          <w:tcPr>
            <w:tcW w:w="992"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104,4</w:t>
            </w:r>
          </w:p>
        </w:tc>
        <w:tc>
          <w:tcPr>
            <w:tcW w:w="992"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23,1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7,6</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15,1</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30,7</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7,0</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15,8</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1,4</w:t>
            </w:r>
          </w:p>
        </w:tc>
        <w:tc>
          <w:tcPr>
            <w:tcW w:w="1275"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257,5</w:t>
            </w:r>
          </w:p>
        </w:tc>
      </w:tr>
      <w:tr w:rsidR="00024C49" w:rsidRPr="00D1550C" w:rsidTr="00760DB9">
        <w:trPr>
          <w:gridAfter w:val="1"/>
          <w:wAfter w:w="141" w:type="dxa"/>
          <w:trHeight w:val="741"/>
        </w:trPr>
        <w:tc>
          <w:tcPr>
            <w:tcW w:w="4111" w:type="dxa"/>
            <w:shd w:val="clear" w:color="auto" w:fill="auto"/>
            <w:vAlign w:val="center"/>
            <w:hideMark/>
          </w:tcPr>
          <w:p w:rsidR="00024C49" w:rsidRPr="00D1550C" w:rsidRDefault="00024C49" w:rsidP="00024C49">
            <w:pPr>
              <w:rPr>
                <w:rFonts w:cs="Calibri"/>
                <w:szCs w:val="20"/>
              </w:rPr>
            </w:pPr>
            <w:r w:rsidRPr="00D1550C">
              <w:rPr>
                <w:rFonts w:cs="Calibri"/>
                <w:szCs w:val="20"/>
              </w:rPr>
              <w:t>Official sources (Governments and international institutions)</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24,8</w:t>
            </w:r>
          </w:p>
        </w:tc>
        <w:tc>
          <w:tcPr>
            <w:tcW w:w="992"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27,1</w:t>
            </w:r>
          </w:p>
        </w:tc>
        <w:tc>
          <w:tcPr>
            <w:tcW w:w="992"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23,5</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7,3</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275"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82,9</w:t>
            </w:r>
          </w:p>
        </w:tc>
      </w:tr>
      <w:tr w:rsidR="00024C49" w:rsidRPr="00D1550C" w:rsidTr="00760DB9">
        <w:trPr>
          <w:gridAfter w:val="1"/>
          <w:wAfter w:w="141" w:type="dxa"/>
          <w:trHeight w:val="255"/>
        </w:trPr>
        <w:tc>
          <w:tcPr>
            <w:tcW w:w="4111" w:type="dxa"/>
            <w:tcBorders>
              <w:bottom w:val="single" w:sz="4" w:space="0" w:color="5B9BD5" w:themeColor="accent1"/>
            </w:tcBorders>
            <w:shd w:val="clear" w:color="auto" w:fill="BDD6EE" w:themeFill="accent1" w:themeFillTint="66"/>
            <w:noWrap/>
            <w:vAlign w:val="center"/>
            <w:hideMark/>
          </w:tcPr>
          <w:p w:rsidR="00024C49" w:rsidRPr="00D1550C" w:rsidRDefault="00024C49" w:rsidP="00024C49">
            <w:pPr>
              <w:jc w:val="center"/>
              <w:rPr>
                <w:rFonts w:cs="Calibri"/>
              </w:rPr>
            </w:pPr>
            <w:r w:rsidRPr="00D1550C">
              <w:rPr>
                <w:rFonts w:cs="Calibri"/>
                <w:szCs w:val="20"/>
              </w:rPr>
              <w:t>TOTAL</w:t>
            </w:r>
          </w:p>
        </w:tc>
        <w:tc>
          <w:tcPr>
            <w:tcW w:w="992" w:type="dxa"/>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770,0</w:t>
            </w:r>
          </w:p>
        </w:tc>
        <w:tc>
          <w:tcPr>
            <w:tcW w:w="992" w:type="dxa"/>
            <w:gridSpan w:val="3"/>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1 175,3</w:t>
            </w:r>
          </w:p>
        </w:tc>
        <w:tc>
          <w:tcPr>
            <w:tcW w:w="992" w:type="dxa"/>
            <w:gridSpan w:val="2"/>
            <w:tcBorders>
              <w:bottom w:val="single" w:sz="4" w:space="0" w:color="5B9BD5" w:themeColor="accent1"/>
              <w:right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807,6</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489,3</w:t>
            </w:r>
          </w:p>
        </w:tc>
        <w:tc>
          <w:tcPr>
            <w:tcW w:w="1134" w:type="dxa"/>
            <w:gridSpan w:val="2"/>
            <w:tcBorders>
              <w:left w:val="single" w:sz="4" w:space="0" w:color="5B9BD5"/>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337,1</w:t>
            </w:r>
          </w:p>
        </w:tc>
        <w:tc>
          <w:tcPr>
            <w:tcW w:w="1134"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415,8</w:t>
            </w:r>
          </w:p>
        </w:tc>
        <w:tc>
          <w:tcPr>
            <w:tcW w:w="992"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151,7</w:t>
            </w:r>
          </w:p>
        </w:tc>
        <w:tc>
          <w:tcPr>
            <w:tcW w:w="992" w:type="dxa"/>
            <w:gridSpan w:val="2"/>
            <w:tcBorders>
              <w:bottom w:val="single" w:sz="4" w:space="0" w:color="5B9BD5" w:themeColor="accent1"/>
            </w:tcBorders>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139,6</w:t>
            </w:r>
          </w:p>
        </w:tc>
        <w:tc>
          <w:tcPr>
            <w:tcW w:w="1134"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102,3</w:t>
            </w:r>
          </w:p>
        </w:tc>
        <w:tc>
          <w:tcPr>
            <w:tcW w:w="1275" w:type="dxa"/>
            <w:tcBorders>
              <w:bottom w:val="single" w:sz="4" w:space="0" w:color="5B9BD5" w:themeColor="accent1"/>
            </w:tcBorders>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4 388,7</w:t>
            </w:r>
          </w:p>
        </w:tc>
      </w:tr>
      <w:tr w:rsidR="003747C9" w:rsidRPr="00D1550C" w:rsidTr="003747C9">
        <w:trPr>
          <w:gridAfter w:val="1"/>
          <w:wAfter w:w="141" w:type="dxa"/>
          <w:trHeight w:val="255"/>
        </w:trPr>
        <w:tc>
          <w:tcPr>
            <w:tcW w:w="4111" w:type="dxa"/>
            <w:vMerge w:val="restart"/>
            <w:tcBorders>
              <w:top w:val="single" w:sz="4" w:space="0" w:color="5B9BD5" w:themeColor="accent1"/>
              <w:left w:val="nil"/>
              <w:bottom w:val="nil"/>
              <w:right w:val="nil"/>
            </w:tcBorders>
            <w:shd w:val="clear" w:color="auto" w:fill="auto"/>
            <w:vAlign w:val="bottom"/>
            <w:hideMark/>
          </w:tcPr>
          <w:p w:rsidR="003747C9" w:rsidRPr="00D1550C" w:rsidRDefault="003747C9" w:rsidP="006F7BE3">
            <w:pPr>
              <w:rPr>
                <w:b/>
              </w:rPr>
            </w:pPr>
            <w:r w:rsidRPr="00D1550C">
              <w:rPr>
                <w:rFonts w:cs="Calibri"/>
                <w:b/>
                <w:szCs w:val="20"/>
              </w:rPr>
              <w:t>Interest</w:t>
            </w:r>
          </w:p>
        </w:tc>
        <w:tc>
          <w:tcPr>
            <w:tcW w:w="992" w:type="dxa"/>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pPr>
              <w:jc w:val="center"/>
            </w:pPr>
          </w:p>
        </w:tc>
        <w:tc>
          <w:tcPr>
            <w:tcW w:w="992" w:type="dxa"/>
            <w:gridSpan w:val="3"/>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992"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993" w:type="dxa"/>
            <w:gridSpan w:val="2"/>
            <w:tcBorders>
              <w:top w:val="single" w:sz="4" w:space="0" w:color="5B9BD5"/>
              <w:left w:val="nil"/>
              <w:bottom w:val="nil"/>
              <w:right w:val="nil"/>
            </w:tcBorders>
            <w:shd w:val="clear" w:color="auto" w:fill="auto"/>
            <w:noWrap/>
            <w:vAlign w:val="bottom"/>
            <w:hideMark/>
          </w:tcPr>
          <w:p w:rsidR="003747C9" w:rsidRPr="00D1550C" w:rsidRDefault="003747C9" w:rsidP="006F7BE3"/>
        </w:tc>
        <w:tc>
          <w:tcPr>
            <w:tcW w:w="1134"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1134"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992"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992" w:type="dxa"/>
            <w:gridSpan w:val="2"/>
            <w:tcBorders>
              <w:top w:val="single" w:sz="4" w:space="0" w:color="5B9BD5" w:themeColor="accent1"/>
              <w:left w:val="nil"/>
              <w:bottom w:val="nil"/>
              <w:right w:val="nil"/>
            </w:tcBorders>
          </w:tcPr>
          <w:p w:rsidR="003747C9" w:rsidRPr="00D1550C" w:rsidRDefault="003747C9" w:rsidP="006F7BE3"/>
        </w:tc>
        <w:tc>
          <w:tcPr>
            <w:tcW w:w="1134" w:type="dxa"/>
            <w:gridSpan w:val="2"/>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c>
          <w:tcPr>
            <w:tcW w:w="1275" w:type="dxa"/>
            <w:tcBorders>
              <w:top w:val="single" w:sz="4" w:space="0" w:color="5B9BD5" w:themeColor="accent1"/>
              <w:left w:val="nil"/>
              <w:bottom w:val="nil"/>
              <w:right w:val="nil"/>
            </w:tcBorders>
            <w:shd w:val="clear" w:color="auto" w:fill="auto"/>
            <w:noWrap/>
            <w:vAlign w:val="bottom"/>
            <w:hideMark/>
          </w:tcPr>
          <w:p w:rsidR="003747C9" w:rsidRPr="00D1550C" w:rsidRDefault="003747C9" w:rsidP="006F7BE3"/>
        </w:tc>
      </w:tr>
      <w:tr w:rsidR="003747C9" w:rsidRPr="00D1550C" w:rsidTr="003747C9">
        <w:trPr>
          <w:gridAfter w:val="1"/>
          <w:wAfter w:w="141" w:type="dxa"/>
          <w:trHeight w:val="249"/>
        </w:trPr>
        <w:tc>
          <w:tcPr>
            <w:tcW w:w="4111" w:type="dxa"/>
            <w:vMerge/>
            <w:tcBorders>
              <w:top w:val="nil"/>
              <w:left w:val="nil"/>
              <w:bottom w:val="single" w:sz="4" w:space="0" w:color="5B9BD5" w:themeColor="accent1"/>
              <w:right w:val="nil"/>
            </w:tcBorders>
            <w:vAlign w:val="center"/>
            <w:hideMark/>
          </w:tcPr>
          <w:p w:rsidR="003747C9" w:rsidRPr="00D1550C" w:rsidRDefault="003747C9" w:rsidP="006F7BE3"/>
        </w:tc>
        <w:tc>
          <w:tcPr>
            <w:tcW w:w="992" w:type="dxa"/>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92" w:type="dxa"/>
            <w:gridSpan w:val="3"/>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92"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93" w:type="dxa"/>
            <w:gridSpan w:val="2"/>
            <w:tcBorders>
              <w:top w:val="nil"/>
              <w:left w:val="nil"/>
              <w:bottom w:val="single" w:sz="4" w:space="0" w:color="5B9BD5"/>
              <w:right w:val="nil"/>
            </w:tcBorders>
            <w:shd w:val="clear" w:color="auto" w:fill="auto"/>
            <w:noWrap/>
            <w:vAlign w:val="bottom"/>
            <w:hideMark/>
          </w:tcPr>
          <w:p w:rsidR="003747C9" w:rsidRPr="00D1550C" w:rsidRDefault="003747C9" w:rsidP="006F7BE3"/>
        </w:tc>
        <w:tc>
          <w:tcPr>
            <w:tcW w:w="1134"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1134"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92"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pPr>
              <w:rPr>
                <w:sz w:val="20"/>
                <w:szCs w:val="20"/>
              </w:rPr>
            </w:pPr>
          </w:p>
        </w:tc>
        <w:tc>
          <w:tcPr>
            <w:tcW w:w="992" w:type="dxa"/>
            <w:gridSpan w:val="2"/>
            <w:tcBorders>
              <w:top w:val="nil"/>
              <w:left w:val="nil"/>
              <w:bottom w:val="single" w:sz="4" w:space="0" w:color="5B9BD5" w:themeColor="accent1"/>
              <w:right w:val="nil"/>
            </w:tcBorders>
          </w:tcPr>
          <w:p w:rsidR="003747C9" w:rsidRPr="00D1550C" w:rsidRDefault="003747C9" w:rsidP="006F7BE3">
            <w:pPr>
              <w:jc w:val="right"/>
              <w:rPr>
                <w:i/>
                <w:sz w:val="20"/>
                <w:szCs w:val="20"/>
              </w:rPr>
            </w:pPr>
          </w:p>
        </w:tc>
        <w:tc>
          <w:tcPr>
            <w:tcW w:w="2409" w:type="dxa"/>
            <w:gridSpan w:val="3"/>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pPr>
              <w:jc w:val="right"/>
              <w:rPr>
                <w:sz w:val="20"/>
                <w:szCs w:val="20"/>
              </w:rPr>
            </w:pPr>
            <w:r w:rsidRPr="00D1550C">
              <w:rPr>
                <w:i/>
                <w:sz w:val="20"/>
                <w:szCs w:val="20"/>
              </w:rPr>
              <w:t>(mln. USD)</w:t>
            </w:r>
          </w:p>
        </w:tc>
      </w:tr>
      <w:tr w:rsidR="003747C9" w:rsidRPr="00D1550C" w:rsidTr="003747C9">
        <w:trPr>
          <w:gridAfter w:val="1"/>
          <w:wAfter w:w="141" w:type="dxa"/>
          <w:trHeight w:val="255"/>
        </w:trPr>
        <w:tc>
          <w:tcPr>
            <w:tcW w:w="4111" w:type="dxa"/>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cs="Calibri"/>
                <w:b/>
                <w:szCs w:val="20"/>
              </w:rPr>
            </w:pPr>
            <w:r w:rsidRPr="00D1550C">
              <w:rPr>
                <w:rFonts w:cs="Calibri"/>
                <w:b/>
                <w:szCs w:val="20"/>
              </w:rPr>
              <w:t>Type of creditor</w:t>
            </w:r>
          </w:p>
        </w:tc>
        <w:tc>
          <w:tcPr>
            <w:tcW w:w="992" w:type="dxa"/>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2021</w:t>
            </w:r>
          </w:p>
        </w:tc>
        <w:tc>
          <w:tcPr>
            <w:tcW w:w="992" w:type="dxa"/>
            <w:gridSpan w:val="3"/>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2022</w:t>
            </w:r>
          </w:p>
        </w:tc>
        <w:tc>
          <w:tcPr>
            <w:tcW w:w="992"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2023</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9733DE">
            <w:pPr>
              <w:jc w:val="center"/>
              <w:rPr>
                <w:rFonts w:asciiTheme="minorHAnsi" w:hAnsiTheme="minorHAnsi" w:cstheme="minorHAnsi"/>
                <w:b/>
              </w:rPr>
            </w:pPr>
            <w:r w:rsidRPr="00D1550C">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3747C9" w:rsidRPr="00D1550C" w:rsidRDefault="003747C9" w:rsidP="009733DE">
            <w:pPr>
              <w:jc w:val="center"/>
              <w:rPr>
                <w:rFonts w:cs="Calibri"/>
                <w:b/>
              </w:rPr>
            </w:pPr>
            <w:r w:rsidRPr="00D1550C">
              <w:rPr>
                <w:rFonts w:cs="Calibri"/>
                <w:b/>
              </w:rPr>
              <w:t>2028</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D1550C" w:rsidRDefault="003747C9" w:rsidP="003747C9">
            <w:pPr>
              <w:jc w:val="center"/>
              <w:rPr>
                <w:b/>
              </w:rPr>
            </w:pPr>
            <w:r w:rsidRPr="00D1550C">
              <w:rPr>
                <w:rFonts w:cs="Calibri"/>
                <w:b/>
              </w:rPr>
              <w:t>after 2028</w:t>
            </w:r>
          </w:p>
        </w:tc>
        <w:tc>
          <w:tcPr>
            <w:tcW w:w="1275" w:type="dxa"/>
            <w:tcBorders>
              <w:top w:val="single" w:sz="4" w:space="0" w:color="5B9BD5" w:themeColor="accent1"/>
            </w:tcBorders>
            <w:shd w:val="clear" w:color="auto" w:fill="BDD6EE" w:themeFill="accent1" w:themeFillTint="66"/>
            <w:vAlign w:val="center"/>
            <w:hideMark/>
          </w:tcPr>
          <w:p w:rsidR="003747C9" w:rsidRPr="00D1550C" w:rsidRDefault="003747C9" w:rsidP="009733DE">
            <w:pPr>
              <w:jc w:val="center"/>
              <w:rPr>
                <w:b/>
              </w:rPr>
            </w:pPr>
            <w:r w:rsidRPr="00D1550C">
              <w:rPr>
                <w:rFonts w:cs="Calibri"/>
                <w:b/>
                <w:szCs w:val="20"/>
              </w:rPr>
              <w:t>TOTAL</w:t>
            </w:r>
          </w:p>
        </w:tc>
      </w:tr>
      <w:tr w:rsidR="00024C49" w:rsidRPr="00D1550C" w:rsidTr="00760DB9">
        <w:trPr>
          <w:gridAfter w:val="1"/>
          <w:wAfter w:w="141" w:type="dxa"/>
          <w:trHeight w:val="471"/>
        </w:trPr>
        <w:tc>
          <w:tcPr>
            <w:tcW w:w="4111" w:type="dxa"/>
            <w:shd w:val="clear" w:color="auto" w:fill="auto"/>
            <w:vAlign w:val="center"/>
            <w:hideMark/>
          </w:tcPr>
          <w:p w:rsidR="00024C49" w:rsidRPr="00D1550C" w:rsidRDefault="00024C49" w:rsidP="00024C49">
            <w:pPr>
              <w:rPr>
                <w:rFonts w:cs="Calibri"/>
                <w:szCs w:val="20"/>
              </w:rPr>
            </w:pPr>
            <w:r w:rsidRPr="00D1550C">
              <w:rPr>
                <w:rFonts w:cs="Calibri"/>
                <w:szCs w:val="20"/>
              </w:rPr>
              <w:t>Foreign banks and other financial institutions</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11,0</w:t>
            </w:r>
          </w:p>
        </w:tc>
        <w:tc>
          <w:tcPr>
            <w:tcW w:w="992"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992"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0,3</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275"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11,3</w:t>
            </w:r>
          </w:p>
        </w:tc>
      </w:tr>
      <w:tr w:rsidR="00024C49" w:rsidRPr="00D1550C" w:rsidTr="00760DB9">
        <w:trPr>
          <w:gridAfter w:val="1"/>
          <w:wAfter w:w="141" w:type="dxa"/>
          <w:trHeight w:val="510"/>
        </w:trPr>
        <w:tc>
          <w:tcPr>
            <w:tcW w:w="4111" w:type="dxa"/>
            <w:shd w:val="clear" w:color="auto" w:fill="auto"/>
            <w:vAlign w:val="center"/>
            <w:hideMark/>
          </w:tcPr>
          <w:p w:rsidR="00024C49" w:rsidRPr="00D1550C" w:rsidRDefault="00024C49" w:rsidP="00024C49">
            <w:pPr>
              <w:rPr>
                <w:rFonts w:cs="Calibri"/>
                <w:szCs w:val="20"/>
              </w:rPr>
            </w:pPr>
            <w:r w:rsidRPr="00D1550C">
              <w:rPr>
                <w:rFonts w:cs="Calibri"/>
                <w:szCs w:val="20"/>
              </w:rPr>
              <w:t>Foreign parent companies and branches</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43,1</w:t>
            </w:r>
          </w:p>
        </w:tc>
        <w:tc>
          <w:tcPr>
            <w:tcW w:w="992"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31,4</w:t>
            </w:r>
          </w:p>
        </w:tc>
        <w:tc>
          <w:tcPr>
            <w:tcW w:w="992"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34,9</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7,4</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0,4</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0,2</w:t>
            </w:r>
          </w:p>
        </w:tc>
        <w:tc>
          <w:tcPr>
            <w:tcW w:w="1275"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117,4</w:t>
            </w:r>
          </w:p>
        </w:tc>
      </w:tr>
      <w:tr w:rsidR="00024C49" w:rsidRPr="00D1550C" w:rsidTr="00760DB9">
        <w:trPr>
          <w:gridAfter w:val="1"/>
          <w:wAfter w:w="141" w:type="dxa"/>
          <w:trHeight w:val="510"/>
        </w:trPr>
        <w:tc>
          <w:tcPr>
            <w:tcW w:w="4111" w:type="dxa"/>
            <w:shd w:val="clear" w:color="auto" w:fill="auto"/>
            <w:vAlign w:val="center"/>
            <w:hideMark/>
          </w:tcPr>
          <w:p w:rsidR="00024C49" w:rsidRPr="00D1550C" w:rsidRDefault="00024C49" w:rsidP="00024C49">
            <w:pPr>
              <w:rPr>
                <w:rFonts w:cs="Calibri"/>
                <w:szCs w:val="20"/>
              </w:rPr>
            </w:pPr>
            <w:r w:rsidRPr="00D1550C">
              <w:rPr>
                <w:rFonts w:cs="Calibri"/>
                <w:szCs w:val="20"/>
              </w:rPr>
              <w:t>Exporters and other private sources</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4,4</w:t>
            </w:r>
          </w:p>
        </w:tc>
        <w:tc>
          <w:tcPr>
            <w:tcW w:w="992"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0,2</w:t>
            </w:r>
          </w:p>
        </w:tc>
        <w:tc>
          <w:tcPr>
            <w:tcW w:w="992" w:type="dxa"/>
            <w:gridSpan w:val="2"/>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275"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4,6</w:t>
            </w:r>
          </w:p>
        </w:tc>
      </w:tr>
      <w:tr w:rsidR="00024C49" w:rsidRPr="00D1550C" w:rsidTr="00760DB9">
        <w:trPr>
          <w:gridAfter w:val="1"/>
          <w:wAfter w:w="141" w:type="dxa"/>
          <w:trHeight w:val="777"/>
        </w:trPr>
        <w:tc>
          <w:tcPr>
            <w:tcW w:w="4111" w:type="dxa"/>
            <w:shd w:val="clear" w:color="auto" w:fill="auto"/>
            <w:vAlign w:val="center"/>
            <w:hideMark/>
          </w:tcPr>
          <w:p w:rsidR="00024C49" w:rsidRPr="00D1550C" w:rsidRDefault="00024C49" w:rsidP="00024C49">
            <w:pPr>
              <w:rPr>
                <w:rFonts w:cs="Calibri"/>
                <w:szCs w:val="20"/>
              </w:rPr>
            </w:pPr>
            <w:r w:rsidRPr="00D1550C">
              <w:rPr>
                <w:rFonts w:cs="Calibri"/>
                <w:szCs w:val="20"/>
              </w:rPr>
              <w:t>Official sources (Governments and international institutions)</w:t>
            </w:r>
          </w:p>
        </w:tc>
        <w:tc>
          <w:tcPr>
            <w:tcW w:w="992"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1,9</w:t>
            </w:r>
          </w:p>
        </w:tc>
        <w:tc>
          <w:tcPr>
            <w:tcW w:w="992"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1,9</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3" w:type="dxa"/>
            <w:gridSpan w:val="2"/>
            <w:tcBorders>
              <w:top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992"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275"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w:t>
            </w:r>
          </w:p>
        </w:tc>
      </w:tr>
      <w:tr w:rsidR="00024C49" w:rsidRPr="00D1550C" w:rsidTr="00760DB9">
        <w:trPr>
          <w:gridAfter w:val="1"/>
          <w:wAfter w:w="141" w:type="dxa"/>
          <w:trHeight w:val="255"/>
        </w:trPr>
        <w:tc>
          <w:tcPr>
            <w:tcW w:w="4111" w:type="dxa"/>
            <w:shd w:val="clear" w:color="auto" w:fill="BDD6EE" w:themeFill="accent1" w:themeFillTint="66"/>
            <w:noWrap/>
            <w:vAlign w:val="center"/>
            <w:hideMark/>
          </w:tcPr>
          <w:p w:rsidR="00024C49" w:rsidRPr="00D1550C" w:rsidRDefault="00024C49" w:rsidP="00024C49">
            <w:pPr>
              <w:jc w:val="center"/>
              <w:rPr>
                <w:rFonts w:cs="Calibri"/>
                <w:szCs w:val="20"/>
              </w:rPr>
            </w:pPr>
            <w:r w:rsidRPr="00D1550C">
              <w:rPr>
                <w:rFonts w:cs="Calibri"/>
                <w:szCs w:val="20"/>
              </w:rPr>
              <w:t>TOTAL</w:t>
            </w:r>
          </w:p>
        </w:tc>
        <w:tc>
          <w:tcPr>
            <w:tcW w:w="992"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60,3</w:t>
            </w:r>
          </w:p>
        </w:tc>
        <w:tc>
          <w:tcPr>
            <w:tcW w:w="992" w:type="dxa"/>
            <w:gridSpan w:val="3"/>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33,5</w:t>
            </w:r>
          </w:p>
        </w:tc>
        <w:tc>
          <w:tcPr>
            <w:tcW w:w="992"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34,9</w:t>
            </w:r>
          </w:p>
        </w:tc>
        <w:tc>
          <w:tcPr>
            <w:tcW w:w="993"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7,7</w:t>
            </w:r>
          </w:p>
        </w:tc>
        <w:tc>
          <w:tcPr>
            <w:tcW w:w="1134"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0,4</w:t>
            </w:r>
          </w:p>
        </w:tc>
        <w:tc>
          <w:tcPr>
            <w:tcW w:w="1134"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0,0</w:t>
            </w:r>
          </w:p>
        </w:tc>
        <w:tc>
          <w:tcPr>
            <w:tcW w:w="992"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992" w:type="dxa"/>
            <w:gridSpan w:val="2"/>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134"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0,2</w:t>
            </w:r>
          </w:p>
        </w:tc>
        <w:tc>
          <w:tcPr>
            <w:tcW w:w="1275" w:type="dxa"/>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137,0</w:t>
            </w:r>
          </w:p>
        </w:tc>
      </w:tr>
    </w:tbl>
    <w:p w:rsidR="009304D9" w:rsidRPr="00D1550C" w:rsidRDefault="009304D9" w:rsidP="009304D9">
      <w:pPr>
        <w:jc w:val="right"/>
        <w:rPr>
          <w:sz w:val="22"/>
          <w:szCs w:val="22"/>
        </w:rPr>
      </w:pPr>
      <w:r w:rsidRPr="00D1550C">
        <w:rPr>
          <w:b/>
        </w:rPr>
        <w:br w:type="page"/>
      </w:r>
      <w:r w:rsidRPr="00D1550C">
        <w:rPr>
          <w:i/>
          <w:sz w:val="22"/>
          <w:szCs w:val="22"/>
        </w:rPr>
        <w:lastRenderedPageBreak/>
        <w:t>Addenda 1</w:t>
      </w:r>
      <w:r w:rsidR="009733DE" w:rsidRPr="00D1550C">
        <w:rPr>
          <w:i/>
          <w:sz w:val="22"/>
          <w:szCs w:val="22"/>
        </w:rPr>
        <w:t>4</w:t>
      </w:r>
      <w:r w:rsidRPr="00D1550C">
        <w:rPr>
          <w:i/>
          <w:sz w:val="22"/>
          <w:szCs w:val="22"/>
        </w:rPr>
        <w:t>.7</w:t>
      </w:r>
    </w:p>
    <w:p w:rsidR="009304D9" w:rsidRPr="00D1550C" w:rsidRDefault="009304D9" w:rsidP="009304D9">
      <w:pPr>
        <w:jc w:val="center"/>
        <w:rPr>
          <w:b/>
        </w:rPr>
      </w:pPr>
    </w:p>
    <w:p w:rsidR="009304D9" w:rsidRPr="00D1550C" w:rsidRDefault="009304D9" w:rsidP="009304D9">
      <w:pPr>
        <w:jc w:val="center"/>
        <w:rPr>
          <w:rFonts w:cs="Calibri"/>
          <w:b/>
        </w:rPr>
      </w:pPr>
      <w:r w:rsidRPr="00D1550C">
        <w:rPr>
          <w:rFonts w:cs="Calibri"/>
          <w:b/>
          <w:sz w:val="26"/>
          <w:szCs w:val="26"/>
        </w:rPr>
        <w:t>INFORMATION ON RECEIPTS AND PAYMENTS OF PRIVATE EXTERNAL DEBT</w:t>
      </w:r>
      <w:r w:rsidR="00760DB9" w:rsidRPr="00D1550C">
        <w:rPr>
          <w:rFonts w:cs="Calibri"/>
          <w:b/>
          <w:sz w:val="26"/>
          <w:szCs w:val="26"/>
        </w:rPr>
        <w:t xml:space="preserve"> IN THE FIRST </w:t>
      </w:r>
      <w:r w:rsidR="00214AC6" w:rsidRPr="00D1550C">
        <w:rPr>
          <w:rFonts w:cs="Calibri"/>
          <w:b/>
          <w:sz w:val="26"/>
          <w:szCs w:val="26"/>
        </w:rPr>
        <w:t>HALF</w:t>
      </w:r>
      <w:r w:rsidRPr="00D1550C">
        <w:rPr>
          <w:rFonts w:cs="Calibri"/>
          <w:b/>
          <w:sz w:val="26"/>
          <w:szCs w:val="26"/>
        </w:rPr>
        <w:t xml:space="preserve"> </w:t>
      </w:r>
      <w:r w:rsidR="00760DB9" w:rsidRPr="00D1550C">
        <w:rPr>
          <w:rFonts w:cs="Calibri"/>
          <w:b/>
          <w:sz w:val="26"/>
          <w:szCs w:val="26"/>
        </w:rPr>
        <w:t>OF</w:t>
      </w:r>
      <w:r w:rsidRPr="00D1550C">
        <w:rPr>
          <w:rFonts w:cs="Calibri"/>
          <w:b/>
          <w:sz w:val="26"/>
          <w:szCs w:val="26"/>
        </w:rPr>
        <w:t xml:space="preserve"> 20</w:t>
      </w:r>
      <w:r w:rsidR="00B51ED0" w:rsidRPr="00D1550C">
        <w:rPr>
          <w:rFonts w:cs="Calibri"/>
          <w:b/>
          <w:sz w:val="26"/>
          <w:szCs w:val="26"/>
        </w:rPr>
        <w:t>2</w:t>
      </w:r>
      <w:r w:rsidR="00760DB9" w:rsidRPr="00D1550C">
        <w:rPr>
          <w:rFonts w:cs="Calibri"/>
          <w:b/>
          <w:sz w:val="26"/>
          <w:szCs w:val="26"/>
        </w:rPr>
        <w:t>1</w:t>
      </w:r>
      <w:r w:rsidRPr="00D1550C">
        <w:rPr>
          <w:rFonts w:cs="Calibri"/>
          <w:b/>
          <w:sz w:val="26"/>
          <w:szCs w:val="26"/>
        </w:rPr>
        <w:br/>
      </w:r>
      <w:r w:rsidRPr="00D1550C">
        <w:rPr>
          <w:rFonts w:cs="Calibri"/>
          <w:i/>
        </w:rPr>
        <w:t>(Type of borrower: all borrowers, except for banks and enterprises with direct investments)</w:t>
      </w:r>
    </w:p>
    <w:p w:rsidR="009304D9" w:rsidRPr="00D1550C" w:rsidRDefault="009304D9" w:rsidP="009304D9">
      <w:pPr>
        <w:tabs>
          <w:tab w:val="left" w:pos="14034"/>
        </w:tabs>
        <w:ind w:right="-172"/>
        <w:jc w:val="right"/>
        <w:rPr>
          <w:i/>
          <w:sz w:val="20"/>
        </w:rPr>
      </w:pPr>
      <w:r w:rsidRPr="00D1550C">
        <w:rPr>
          <w:i/>
          <w:sz w:val="20"/>
          <w:szCs w:val="20"/>
        </w:rPr>
        <w:t>(mln. USD)</w:t>
      </w:r>
    </w:p>
    <w:tbl>
      <w:tblPr>
        <w:tblW w:w="14997"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32"/>
        <w:gridCol w:w="1729"/>
        <w:gridCol w:w="1560"/>
        <w:gridCol w:w="1559"/>
        <w:gridCol w:w="1560"/>
        <w:gridCol w:w="1813"/>
        <w:gridCol w:w="1843"/>
        <w:gridCol w:w="1701"/>
      </w:tblGrid>
      <w:tr w:rsidR="009304D9" w:rsidRPr="00D1550C" w:rsidTr="00945122">
        <w:trPr>
          <w:trHeight w:val="255"/>
        </w:trPr>
        <w:tc>
          <w:tcPr>
            <w:tcW w:w="3232" w:type="dxa"/>
            <w:vMerge w:val="restart"/>
            <w:shd w:val="clear" w:color="auto" w:fill="BDD6EE" w:themeFill="accent1" w:themeFillTint="66"/>
            <w:vAlign w:val="center"/>
            <w:hideMark/>
          </w:tcPr>
          <w:p w:rsidR="009304D9" w:rsidRPr="00D1550C" w:rsidRDefault="009304D9" w:rsidP="006F7BE3">
            <w:pPr>
              <w:jc w:val="center"/>
              <w:rPr>
                <w:b/>
              </w:rPr>
            </w:pPr>
            <w:r w:rsidRPr="00D1550C">
              <w:rPr>
                <w:rFonts w:cs="Calibri"/>
                <w:b/>
              </w:rPr>
              <w:t>Type of creditor</w:t>
            </w:r>
          </w:p>
        </w:tc>
        <w:tc>
          <w:tcPr>
            <w:tcW w:w="1729"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rFonts w:cs="Calibri"/>
                <w:b/>
              </w:rPr>
            </w:pPr>
            <w:r w:rsidRPr="00D1550C">
              <w:rPr>
                <w:rFonts w:cs="Calibri"/>
                <w:b/>
              </w:rPr>
              <w:t xml:space="preserve">period. </w:t>
            </w:r>
          </w:p>
        </w:tc>
        <w:tc>
          <w:tcPr>
            <w:tcW w:w="8335" w:type="dxa"/>
            <w:gridSpan w:val="5"/>
            <w:shd w:val="clear" w:color="auto" w:fill="BDD6EE" w:themeFill="accent1" w:themeFillTint="66"/>
            <w:noWrap/>
            <w:vAlign w:val="center"/>
            <w:hideMark/>
          </w:tcPr>
          <w:p w:rsidR="009304D9" w:rsidRPr="00D1550C" w:rsidRDefault="009304D9" w:rsidP="006F7BE3">
            <w:pPr>
              <w:jc w:val="center"/>
              <w:rPr>
                <w:rFonts w:cs="Calibri"/>
                <w:b/>
              </w:rPr>
            </w:pPr>
            <w:r w:rsidRPr="00D1550C">
              <w:rPr>
                <w:rFonts w:cs="Calibri"/>
                <w:b/>
              </w:rPr>
              <w:t>Dynamics during the period</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End of period</w:t>
            </w:r>
          </w:p>
        </w:tc>
      </w:tr>
      <w:tr w:rsidR="009304D9" w:rsidRPr="00D1550C" w:rsidTr="00945122">
        <w:trPr>
          <w:trHeight w:val="510"/>
        </w:trPr>
        <w:tc>
          <w:tcPr>
            <w:tcW w:w="3232" w:type="dxa"/>
            <w:vMerge/>
            <w:shd w:val="clear" w:color="auto" w:fill="BDD6EE" w:themeFill="accent1" w:themeFillTint="66"/>
            <w:vAlign w:val="center"/>
            <w:hideMark/>
          </w:tcPr>
          <w:p w:rsidR="009304D9" w:rsidRPr="00D1550C" w:rsidRDefault="009304D9" w:rsidP="006F7BE3">
            <w:pPr>
              <w:rPr>
                <w:b/>
              </w:rPr>
            </w:pPr>
          </w:p>
        </w:tc>
        <w:tc>
          <w:tcPr>
            <w:tcW w:w="1729"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c>
          <w:tcPr>
            <w:tcW w:w="1560"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Receipts</w:t>
            </w:r>
          </w:p>
        </w:tc>
        <w:tc>
          <w:tcPr>
            <w:tcW w:w="1559"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Repayment of</w:t>
            </w:r>
          </w:p>
          <w:p w:rsidR="009304D9" w:rsidRPr="00D1550C" w:rsidRDefault="009304D9" w:rsidP="006F7BE3">
            <w:pPr>
              <w:jc w:val="center"/>
              <w:rPr>
                <w:rFonts w:cs="Calibri"/>
                <w:b/>
              </w:rPr>
            </w:pPr>
            <w:r w:rsidRPr="00D1550C">
              <w:rPr>
                <w:rFonts w:cs="Calibri"/>
                <w:b/>
              </w:rPr>
              <w:t>principal debt</w:t>
            </w:r>
          </w:p>
        </w:tc>
        <w:tc>
          <w:tcPr>
            <w:tcW w:w="1560"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81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principal debt </w:t>
            </w:r>
          </w:p>
          <w:p w:rsidR="009304D9" w:rsidRPr="00D1550C" w:rsidRDefault="009304D9" w:rsidP="006F7BE3">
            <w:pPr>
              <w:jc w:val="center"/>
              <w:rPr>
                <w:rFonts w:cs="Calibri"/>
                <w:b/>
              </w:rPr>
            </w:pPr>
            <w:r w:rsidRPr="00D1550C">
              <w:rPr>
                <w:rFonts w:cs="Calibri"/>
                <w:b/>
              </w:rPr>
              <w:t>payments</w:t>
            </w:r>
          </w:p>
        </w:tc>
        <w:tc>
          <w:tcPr>
            <w:tcW w:w="184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r>
      <w:tr w:rsidR="009304D9" w:rsidRPr="00D1550C" w:rsidTr="004817AF">
        <w:trPr>
          <w:trHeight w:val="255"/>
        </w:trPr>
        <w:tc>
          <w:tcPr>
            <w:tcW w:w="3232" w:type="dxa"/>
            <w:shd w:val="clear" w:color="auto" w:fill="auto"/>
            <w:noWrap/>
            <w:vAlign w:val="center"/>
            <w:hideMark/>
          </w:tcPr>
          <w:p w:rsidR="009304D9" w:rsidRPr="00D1550C" w:rsidRDefault="009304D9" w:rsidP="006F7BE3">
            <w:pPr>
              <w:jc w:val="center"/>
            </w:pPr>
            <w:r w:rsidRPr="00D1550C">
              <w:t>1</w:t>
            </w:r>
          </w:p>
        </w:tc>
        <w:tc>
          <w:tcPr>
            <w:tcW w:w="1729" w:type="dxa"/>
            <w:shd w:val="clear" w:color="auto" w:fill="auto"/>
            <w:noWrap/>
            <w:vAlign w:val="center"/>
            <w:hideMark/>
          </w:tcPr>
          <w:p w:rsidR="009304D9" w:rsidRPr="00D1550C" w:rsidRDefault="009304D9" w:rsidP="006F7BE3">
            <w:pPr>
              <w:jc w:val="center"/>
            </w:pPr>
            <w:r w:rsidRPr="00D1550C">
              <w:t>2</w:t>
            </w:r>
          </w:p>
        </w:tc>
        <w:tc>
          <w:tcPr>
            <w:tcW w:w="1560" w:type="dxa"/>
            <w:shd w:val="clear" w:color="auto" w:fill="auto"/>
            <w:noWrap/>
            <w:vAlign w:val="center"/>
            <w:hideMark/>
          </w:tcPr>
          <w:p w:rsidR="009304D9" w:rsidRPr="00D1550C" w:rsidRDefault="009304D9" w:rsidP="006F7BE3">
            <w:pPr>
              <w:jc w:val="center"/>
            </w:pPr>
            <w:r w:rsidRPr="00D1550C">
              <w:t>3</w:t>
            </w:r>
          </w:p>
        </w:tc>
        <w:tc>
          <w:tcPr>
            <w:tcW w:w="1559" w:type="dxa"/>
            <w:shd w:val="clear" w:color="auto" w:fill="auto"/>
            <w:noWrap/>
            <w:vAlign w:val="center"/>
            <w:hideMark/>
          </w:tcPr>
          <w:p w:rsidR="009304D9" w:rsidRPr="00D1550C" w:rsidRDefault="009304D9" w:rsidP="006F7BE3">
            <w:pPr>
              <w:jc w:val="center"/>
            </w:pPr>
            <w:r w:rsidRPr="00D1550C">
              <w:t>4</w:t>
            </w:r>
          </w:p>
        </w:tc>
        <w:tc>
          <w:tcPr>
            <w:tcW w:w="1560" w:type="dxa"/>
            <w:shd w:val="clear" w:color="auto" w:fill="auto"/>
            <w:noWrap/>
            <w:vAlign w:val="center"/>
            <w:hideMark/>
          </w:tcPr>
          <w:p w:rsidR="009304D9" w:rsidRPr="00D1550C" w:rsidRDefault="009304D9" w:rsidP="006F7BE3">
            <w:pPr>
              <w:jc w:val="center"/>
            </w:pPr>
            <w:r w:rsidRPr="00D1550C">
              <w:t>5</w:t>
            </w:r>
          </w:p>
        </w:tc>
        <w:tc>
          <w:tcPr>
            <w:tcW w:w="1813" w:type="dxa"/>
            <w:shd w:val="clear" w:color="auto" w:fill="auto"/>
            <w:noWrap/>
            <w:vAlign w:val="center"/>
            <w:hideMark/>
          </w:tcPr>
          <w:p w:rsidR="009304D9" w:rsidRPr="00D1550C" w:rsidRDefault="009304D9" w:rsidP="006F7BE3">
            <w:pPr>
              <w:jc w:val="center"/>
            </w:pPr>
            <w:r w:rsidRPr="00D1550C">
              <w:t>6</w:t>
            </w:r>
          </w:p>
        </w:tc>
        <w:tc>
          <w:tcPr>
            <w:tcW w:w="1843" w:type="dxa"/>
            <w:shd w:val="clear" w:color="auto" w:fill="auto"/>
            <w:noWrap/>
            <w:vAlign w:val="center"/>
            <w:hideMark/>
          </w:tcPr>
          <w:p w:rsidR="009304D9" w:rsidRPr="00D1550C" w:rsidRDefault="009304D9" w:rsidP="006F7BE3">
            <w:pPr>
              <w:jc w:val="center"/>
            </w:pPr>
            <w:r w:rsidRPr="00D1550C">
              <w:t>7</w:t>
            </w:r>
          </w:p>
        </w:tc>
        <w:tc>
          <w:tcPr>
            <w:tcW w:w="1701" w:type="dxa"/>
            <w:shd w:val="clear" w:color="auto" w:fill="auto"/>
            <w:noWrap/>
            <w:vAlign w:val="center"/>
            <w:hideMark/>
          </w:tcPr>
          <w:p w:rsidR="009304D9" w:rsidRPr="00D1550C" w:rsidRDefault="009304D9" w:rsidP="006F7BE3">
            <w:pPr>
              <w:jc w:val="center"/>
            </w:pPr>
            <w:r w:rsidRPr="00D1550C">
              <w:t>8</w:t>
            </w:r>
          </w:p>
        </w:tc>
      </w:tr>
      <w:tr w:rsidR="00024C49" w:rsidRPr="00D1550C" w:rsidTr="00760DB9">
        <w:trPr>
          <w:trHeight w:val="765"/>
        </w:trPr>
        <w:tc>
          <w:tcPr>
            <w:tcW w:w="3232" w:type="dxa"/>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172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1 031,5</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700,5</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196,4</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21,5</w:t>
            </w:r>
          </w:p>
        </w:tc>
        <w:tc>
          <w:tcPr>
            <w:tcW w:w="181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1 523,3</w:t>
            </w:r>
          </w:p>
        </w:tc>
      </w:tr>
      <w:tr w:rsidR="00024C49" w:rsidRPr="00D1550C" w:rsidTr="00760DB9">
        <w:trPr>
          <w:trHeight w:val="510"/>
        </w:trPr>
        <w:tc>
          <w:tcPr>
            <w:tcW w:w="3232" w:type="dxa"/>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172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4,8</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1,2</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0,5</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0,1</w:t>
            </w:r>
          </w:p>
        </w:tc>
        <w:tc>
          <w:tcPr>
            <w:tcW w:w="181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5,4</w:t>
            </w:r>
          </w:p>
        </w:tc>
      </w:tr>
      <w:tr w:rsidR="00024C49" w:rsidRPr="00D1550C" w:rsidTr="00760DB9">
        <w:trPr>
          <w:trHeight w:val="510"/>
        </w:trPr>
        <w:tc>
          <w:tcPr>
            <w:tcW w:w="3232" w:type="dxa"/>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172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356,8</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169,0</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38,0</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w:t>
            </w:r>
          </w:p>
        </w:tc>
        <w:tc>
          <w:tcPr>
            <w:tcW w:w="181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482,7</w:t>
            </w:r>
          </w:p>
        </w:tc>
      </w:tr>
      <w:tr w:rsidR="00024C49" w:rsidRPr="00D1550C" w:rsidTr="00760DB9">
        <w:trPr>
          <w:trHeight w:val="868"/>
        </w:trPr>
        <w:tc>
          <w:tcPr>
            <w:tcW w:w="3232" w:type="dxa"/>
            <w:shd w:val="clear" w:color="auto" w:fill="auto"/>
            <w:vAlign w:val="center"/>
            <w:hideMark/>
          </w:tcPr>
          <w:p w:rsidR="00024C49" w:rsidRPr="00D1550C" w:rsidRDefault="00024C49" w:rsidP="00024C49">
            <w:pPr>
              <w:rPr>
                <w:rFonts w:cs="Calibri"/>
              </w:rPr>
            </w:pPr>
            <w:r w:rsidRPr="00D1550C">
              <w:rPr>
                <w:rFonts w:cs="Calibri"/>
              </w:rPr>
              <w:t>Official sources (Governments and international institutions)</w:t>
            </w:r>
          </w:p>
        </w:tc>
        <w:tc>
          <w:tcPr>
            <w:tcW w:w="172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40,0</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5,0</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7,0</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0,5</w:t>
            </w:r>
          </w:p>
        </w:tc>
        <w:tc>
          <w:tcPr>
            <w:tcW w:w="181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37,9</w:t>
            </w:r>
          </w:p>
        </w:tc>
      </w:tr>
      <w:tr w:rsidR="00024C49" w:rsidRPr="00D1550C" w:rsidTr="00214AC6">
        <w:trPr>
          <w:trHeight w:val="702"/>
        </w:trPr>
        <w:tc>
          <w:tcPr>
            <w:tcW w:w="3232" w:type="dxa"/>
            <w:shd w:val="clear" w:color="auto" w:fill="auto"/>
            <w:vAlign w:val="center"/>
          </w:tcPr>
          <w:p w:rsidR="00024C49" w:rsidRPr="00D1550C" w:rsidRDefault="00024C49" w:rsidP="00024C49">
            <w:pPr>
              <w:rPr>
                <w:rFonts w:cs="Calibri"/>
              </w:rPr>
            </w:pPr>
            <w:r w:rsidRPr="00D1550C">
              <w:rPr>
                <w:rFonts w:cs="Calibri"/>
              </w:rPr>
              <w:t>International Bonds</w:t>
            </w:r>
          </w:p>
        </w:tc>
        <w:tc>
          <w:tcPr>
            <w:tcW w:w="172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300,0</w:t>
            </w:r>
          </w:p>
        </w:tc>
        <w:tc>
          <w:tcPr>
            <w:tcW w:w="1559"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56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1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843"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701"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303,9</w:t>
            </w:r>
          </w:p>
        </w:tc>
      </w:tr>
      <w:tr w:rsidR="00024C49" w:rsidRPr="00D1550C" w:rsidTr="00760DB9">
        <w:trPr>
          <w:trHeight w:val="255"/>
        </w:trPr>
        <w:tc>
          <w:tcPr>
            <w:tcW w:w="3232" w:type="dxa"/>
            <w:shd w:val="clear" w:color="auto" w:fill="BDD6EE" w:themeFill="accent1" w:themeFillTint="66"/>
            <w:noWrap/>
            <w:vAlign w:val="center"/>
            <w:hideMark/>
          </w:tcPr>
          <w:p w:rsidR="00024C49" w:rsidRPr="00D1550C" w:rsidRDefault="00024C49" w:rsidP="00024C49">
            <w:pPr>
              <w:jc w:val="center"/>
            </w:pPr>
            <w:r w:rsidRPr="00D1550C">
              <w:rPr>
                <w:rFonts w:cs="Calibri"/>
              </w:rPr>
              <w:t>TOTAL</w:t>
            </w:r>
          </w:p>
        </w:tc>
        <w:tc>
          <w:tcPr>
            <w:tcW w:w="1729"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1 433,0</w:t>
            </w:r>
          </w:p>
        </w:tc>
        <w:tc>
          <w:tcPr>
            <w:tcW w:w="1560"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1 175,7</w:t>
            </w:r>
          </w:p>
        </w:tc>
        <w:tc>
          <w:tcPr>
            <w:tcW w:w="1559"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241,8</w:t>
            </w:r>
          </w:p>
        </w:tc>
        <w:tc>
          <w:tcPr>
            <w:tcW w:w="1560"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23,2</w:t>
            </w:r>
          </w:p>
        </w:tc>
        <w:tc>
          <w:tcPr>
            <w:tcW w:w="1813"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843"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701"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2 353,2</w:t>
            </w:r>
          </w:p>
        </w:tc>
      </w:tr>
    </w:tbl>
    <w:p w:rsidR="009304D9" w:rsidRPr="00D1550C" w:rsidRDefault="009304D9" w:rsidP="009304D9">
      <w:pPr>
        <w:tabs>
          <w:tab w:val="left" w:pos="6255"/>
        </w:tabs>
        <w:ind w:right="-456"/>
        <w:rPr>
          <w:i/>
        </w:rPr>
      </w:pPr>
    </w:p>
    <w:p w:rsidR="009304D9" w:rsidRPr="00D1550C" w:rsidRDefault="009304D9" w:rsidP="009304D9">
      <w:pPr>
        <w:rPr>
          <w:b/>
        </w:rPr>
      </w:pPr>
    </w:p>
    <w:p w:rsidR="009304D9" w:rsidRPr="00D1550C" w:rsidRDefault="009304D9" w:rsidP="009304D9">
      <w:pPr>
        <w:jc w:val="right"/>
        <w:rPr>
          <w:i/>
          <w:sz w:val="22"/>
          <w:szCs w:val="22"/>
        </w:rPr>
      </w:pPr>
      <w:r w:rsidRPr="00D1550C">
        <w:rPr>
          <w:b/>
        </w:rPr>
        <w:br w:type="page"/>
      </w:r>
      <w:r w:rsidRPr="00D1550C">
        <w:rPr>
          <w:i/>
          <w:sz w:val="22"/>
          <w:szCs w:val="22"/>
        </w:rPr>
        <w:lastRenderedPageBreak/>
        <w:t>Addenda 1</w:t>
      </w:r>
      <w:r w:rsidR="009733DE" w:rsidRPr="00D1550C">
        <w:rPr>
          <w:i/>
          <w:sz w:val="22"/>
          <w:szCs w:val="22"/>
        </w:rPr>
        <w:t>4</w:t>
      </w:r>
      <w:r w:rsidRPr="00D1550C">
        <w:rPr>
          <w:i/>
          <w:sz w:val="22"/>
          <w:szCs w:val="22"/>
        </w:rPr>
        <w:t>.8</w:t>
      </w:r>
    </w:p>
    <w:p w:rsidR="009304D9" w:rsidRPr="00D1550C" w:rsidRDefault="009304D9" w:rsidP="009304D9">
      <w:pPr>
        <w:jc w:val="center"/>
        <w:rPr>
          <w:rFonts w:cs="Calibri"/>
          <w:b/>
          <w:sz w:val="28"/>
        </w:rPr>
      </w:pPr>
      <w:r w:rsidRPr="00D1550C">
        <w:rPr>
          <w:rFonts w:cs="Calibri"/>
          <w:b/>
          <w:sz w:val="26"/>
          <w:szCs w:val="26"/>
        </w:rPr>
        <w:t>FORECAST OF FUTURE PAYMENTS OF PRINCIPAL DEBT AND INTEREST</w:t>
      </w:r>
      <w:r w:rsidRPr="00D1550C">
        <w:rPr>
          <w:rFonts w:cs="Calibri"/>
          <w:b/>
          <w:sz w:val="26"/>
          <w:szCs w:val="26"/>
        </w:rPr>
        <w:br/>
      </w:r>
      <w:r w:rsidRPr="00D1550C">
        <w:rPr>
          <w:rFonts w:cs="Calibri"/>
          <w:i/>
        </w:rPr>
        <w:t>(Type of borrower: all borrowers, except for banks and enterprises with direct investments)</w:t>
      </w:r>
    </w:p>
    <w:tbl>
      <w:tblPr>
        <w:tblW w:w="15242"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827"/>
        <w:gridCol w:w="1134"/>
        <w:gridCol w:w="661"/>
        <w:gridCol w:w="473"/>
        <w:gridCol w:w="523"/>
        <w:gridCol w:w="611"/>
        <w:gridCol w:w="386"/>
        <w:gridCol w:w="748"/>
        <w:gridCol w:w="241"/>
        <w:gridCol w:w="893"/>
        <w:gridCol w:w="97"/>
        <w:gridCol w:w="977"/>
        <w:gridCol w:w="60"/>
        <w:gridCol w:w="932"/>
        <w:gridCol w:w="203"/>
        <w:gridCol w:w="942"/>
        <w:gridCol w:w="191"/>
        <w:gridCol w:w="1130"/>
        <w:gridCol w:w="1130"/>
        <w:gridCol w:w="83"/>
      </w:tblGrid>
      <w:tr w:rsidR="00760DB9" w:rsidRPr="00D1550C" w:rsidTr="00CB300A">
        <w:trPr>
          <w:trHeight w:val="156"/>
        </w:trPr>
        <w:tc>
          <w:tcPr>
            <w:tcW w:w="3827" w:type="dxa"/>
            <w:tcBorders>
              <w:top w:val="nil"/>
              <w:left w:val="nil"/>
              <w:bottom w:val="single" w:sz="4" w:space="0" w:color="5B9BD5" w:themeColor="accent1"/>
              <w:right w:val="nil"/>
            </w:tcBorders>
            <w:vAlign w:val="center"/>
            <w:hideMark/>
          </w:tcPr>
          <w:p w:rsidR="00760DB9" w:rsidRPr="00D1550C" w:rsidRDefault="00760DB9" w:rsidP="006F7BE3">
            <w:r w:rsidRPr="00D1550C">
              <w:rPr>
                <w:rFonts w:cs="Calibri"/>
                <w:b/>
              </w:rPr>
              <w:t>Principal debt</w:t>
            </w:r>
          </w:p>
        </w:tc>
        <w:tc>
          <w:tcPr>
            <w:tcW w:w="1134" w:type="dxa"/>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661" w:type="dxa"/>
            <w:tcBorders>
              <w:top w:val="nil"/>
              <w:left w:val="nil"/>
              <w:bottom w:val="nil"/>
              <w:right w:val="nil"/>
            </w:tcBorders>
            <w:shd w:val="clear" w:color="auto" w:fill="auto"/>
            <w:noWrap/>
            <w:vAlign w:val="bottom"/>
            <w:hideMark/>
          </w:tcPr>
          <w:p w:rsidR="00760DB9" w:rsidRPr="00D1550C" w:rsidRDefault="00760DB9" w:rsidP="006F7BE3"/>
        </w:tc>
        <w:tc>
          <w:tcPr>
            <w:tcW w:w="996"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97"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89"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90"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77" w:type="dxa"/>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92"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1145" w:type="dxa"/>
            <w:gridSpan w:val="2"/>
            <w:tcBorders>
              <w:top w:val="nil"/>
              <w:left w:val="nil"/>
              <w:bottom w:val="single" w:sz="4" w:space="0" w:color="5B9BD5" w:themeColor="accent1"/>
              <w:right w:val="nil"/>
            </w:tcBorders>
          </w:tcPr>
          <w:p w:rsidR="00760DB9" w:rsidRPr="00D1550C" w:rsidRDefault="00760DB9" w:rsidP="006F7BE3">
            <w:pPr>
              <w:jc w:val="right"/>
              <w:rPr>
                <w:i/>
                <w:sz w:val="20"/>
                <w:szCs w:val="20"/>
              </w:rPr>
            </w:pPr>
          </w:p>
        </w:tc>
        <w:tc>
          <w:tcPr>
            <w:tcW w:w="2534" w:type="dxa"/>
            <w:gridSpan w:val="4"/>
            <w:tcBorders>
              <w:top w:val="nil"/>
              <w:left w:val="nil"/>
              <w:bottom w:val="single" w:sz="4" w:space="0" w:color="5B9BD5" w:themeColor="accent1"/>
              <w:right w:val="nil"/>
            </w:tcBorders>
            <w:shd w:val="clear" w:color="auto" w:fill="auto"/>
            <w:noWrap/>
            <w:vAlign w:val="bottom"/>
            <w:hideMark/>
          </w:tcPr>
          <w:p w:rsidR="00760DB9" w:rsidRPr="00D1550C" w:rsidRDefault="00760DB9" w:rsidP="00CB300A">
            <w:pPr>
              <w:ind w:right="246"/>
              <w:jc w:val="right"/>
              <w:rPr>
                <w:sz w:val="20"/>
                <w:szCs w:val="20"/>
              </w:rPr>
            </w:pPr>
            <w:r w:rsidRPr="00D1550C">
              <w:rPr>
                <w:i/>
                <w:sz w:val="20"/>
                <w:szCs w:val="20"/>
              </w:rPr>
              <w:t>(mln. USD)</w:t>
            </w:r>
          </w:p>
        </w:tc>
      </w:tr>
      <w:tr w:rsidR="00760DB9" w:rsidRPr="00D1550C" w:rsidTr="00CB300A">
        <w:trPr>
          <w:gridAfter w:val="1"/>
          <w:wAfter w:w="83" w:type="dxa"/>
          <w:trHeight w:val="342"/>
        </w:trPr>
        <w:tc>
          <w:tcPr>
            <w:tcW w:w="3827" w:type="dxa"/>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cs="Calibri"/>
                <w:b/>
              </w:rPr>
            </w:pPr>
            <w:r w:rsidRPr="00D1550C">
              <w:rPr>
                <w:rFonts w:cs="Calibri"/>
                <w:b/>
              </w:rPr>
              <w:t>Type of creditor</w:t>
            </w:r>
          </w:p>
        </w:tc>
        <w:tc>
          <w:tcPr>
            <w:tcW w:w="1134" w:type="dxa"/>
            <w:tcBorders>
              <w:top w:val="single" w:sz="4" w:space="0" w:color="5B9BD5" w:themeColor="accent1"/>
              <w:righ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2021</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2022</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gridSpan w:val="3"/>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2026</w:t>
            </w:r>
          </w:p>
        </w:tc>
        <w:tc>
          <w:tcPr>
            <w:tcW w:w="1135" w:type="dxa"/>
            <w:gridSpan w:val="2"/>
            <w:tcBorders>
              <w:top w:val="single" w:sz="4" w:space="0" w:color="5B9BD5" w:themeColor="accent1"/>
            </w:tcBorders>
            <w:shd w:val="clear" w:color="auto" w:fill="BDD6EE" w:themeFill="accent1" w:themeFillTint="66"/>
            <w:vAlign w:val="center"/>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2027</w:t>
            </w:r>
          </w:p>
        </w:tc>
        <w:tc>
          <w:tcPr>
            <w:tcW w:w="1133"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760DB9">
            <w:pPr>
              <w:jc w:val="center"/>
              <w:rPr>
                <w:rFonts w:asciiTheme="minorHAnsi" w:hAnsiTheme="minorHAnsi" w:cstheme="minorHAnsi"/>
                <w:b/>
              </w:rPr>
            </w:pPr>
            <w:r w:rsidRPr="00D1550C">
              <w:rPr>
                <w:rFonts w:asciiTheme="minorHAnsi" w:hAnsiTheme="minorHAnsi" w:cstheme="minorHAnsi"/>
                <w:b/>
              </w:rPr>
              <w:t>2028</w:t>
            </w:r>
          </w:p>
        </w:tc>
        <w:tc>
          <w:tcPr>
            <w:tcW w:w="1130" w:type="dxa"/>
            <w:tcBorders>
              <w:top w:val="single" w:sz="4" w:space="0" w:color="5B9BD5" w:themeColor="accent1"/>
            </w:tcBorders>
            <w:shd w:val="clear" w:color="auto" w:fill="BDD6EE" w:themeFill="accent1" w:themeFillTint="66"/>
            <w:noWrap/>
            <w:vAlign w:val="center"/>
            <w:hideMark/>
          </w:tcPr>
          <w:p w:rsidR="00760DB9" w:rsidRPr="00D1550C" w:rsidRDefault="00760DB9" w:rsidP="00760DB9">
            <w:pPr>
              <w:jc w:val="center"/>
              <w:rPr>
                <w:b/>
              </w:rPr>
            </w:pPr>
            <w:r w:rsidRPr="00D1550C">
              <w:rPr>
                <w:rFonts w:cs="Calibri"/>
                <w:b/>
              </w:rPr>
              <w:t>after 2028</w:t>
            </w:r>
          </w:p>
        </w:tc>
        <w:tc>
          <w:tcPr>
            <w:tcW w:w="1130" w:type="dxa"/>
            <w:tcBorders>
              <w:top w:val="single" w:sz="4" w:space="0" w:color="5B9BD5" w:themeColor="accent1"/>
            </w:tcBorders>
            <w:shd w:val="clear" w:color="auto" w:fill="BDD6EE" w:themeFill="accent1" w:themeFillTint="66"/>
            <w:vAlign w:val="center"/>
            <w:hideMark/>
          </w:tcPr>
          <w:p w:rsidR="00760DB9" w:rsidRPr="00D1550C" w:rsidRDefault="00760DB9" w:rsidP="009733DE">
            <w:pPr>
              <w:jc w:val="center"/>
              <w:rPr>
                <w:rFonts w:cs="Calibri"/>
                <w:b/>
              </w:rPr>
            </w:pPr>
            <w:r w:rsidRPr="00D1550C">
              <w:rPr>
                <w:rFonts w:cs="Calibri"/>
                <w:b/>
              </w:rPr>
              <w:t>TOTAL</w:t>
            </w:r>
          </w:p>
        </w:tc>
      </w:tr>
      <w:tr w:rsidR="00024C49" w:rsidRPr="00D1550C" w:rsidTr="00CB300A">
        <w:trPr>
          <w:gridAfter w:val="1"/>
          <w:wAfter w:w="83" w:type="dxa"/>
          <w:trHeight w:val="142"/>
        </w:trPr>
        <w:tc>
          <w:tcPr>
            <w:tcW w:w="3827" w:type="dxa"/>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1134" w:type="dxa"/>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477,2</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836,4</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44,9</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69,4</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36,3</w:t>
            </w:r>
          </w:p>
        </w:tc>
        <w:tc>
          <w:tcPr>
            <w:tcW w:w="1134"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29,5</w:t>
            </w:r>
          </w:p>
        </w:tc>
        <w:tc>
          <w:tcPr>
            <w:tcW w:w="1135"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18,7</w:t>
            </w:r>
          </w:p>
        </w:tc>
        <w:tc>
          <w:tcPr>
            <w:tcW w:w="113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11,1</w:t>
            </w:r>
          </w:p>
        </w:tc>
        <w:tc>
          <w:tcPr>
            <w:tcW w:w="1130"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1 523,3</w:t>
            </w:r>
          </w:p>
        </w:tc>
      </w:tr>
      <w:tr w:rsidR="00024C49" w:rsidRPr="00D1550C" w:rsidTr="00CB300A">
        <w:trPr>
          <w:gridAfter w:val="1"/>
          <w:wAfter w:w="83" w:type="dxa"/>
          <w:trHeight w:val="510"/>
        </w:trPr>
        <w:tc>
          <w:tcPr>
            <w:tcW w:w="3827" w:type="dxa"/>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1134" w:type="dxa"/>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1,7</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1,5</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1,0</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0,9</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0,3</w:t>
            </w:r>
          </w:p>
        </w:tc>
        <w:tc>
          <w:tcPr>
            <w:tcW w:w="1134"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5"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5,4</w:t>
            </w:r>
          </w:p>
        </w:tc>
      </w:tr>
      <w:tr w:rsidR="00024C49" w:rsidRPr="00D1550C" w:rsidTr="00CB300A">
        <w:trPr>
          <w:gridAfter w:val="1"/>
          <w:wAfter w:w="83" w:type="dxa"/>
          <w:trHeight w:val="323"/>
        </w:trPr>
        <w:tc>
          <w:tcPr>
            <w:tcW w:w="3827" w:type="dxa"/>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1134" w:type="dxa"/>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194,9</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125,2</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76,1</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47,9</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9,1</w:t>
            </w:r>
          </w:p>
        </w:tc>
        <w:tc>
          <w:tcPr>
            <w:tcW w:w="1134"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6,2</w:t>
            </w:r>
          </w:p>
        </w:tc>
        <w:tc>
          <w:tcPr>
            <w:tcW w:w="1135"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0,2</w:t>
            </w:r>
          </w:p>
        </w:tc>
        <w:tc>
          <w:tcPr>
            <w:tcW w:w="113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23,3</w:t>
            </w:r>
          </w:p>
        </w:tc>
        <w:tc>
          <w:tcPr>
            <w:tcW w:w="1130"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482,7</w:t>
            </w:r>
          </w:p>
        </w:tc>
      </w:tr>
      <w:tr w:rsidR="00024C49" w:rsidRPr="00D1550C" w:rsidTr="00CB300A">
        <w:trPr>
          <w:gridAfter w:val="1"/>
          <w:wAfter w:w="83" w:type="dxa"/>
          <w:trHeight w:val="556"/>
        </w:trPr>
        <w:tc>
          <w:tcPr>
            <w:tcW w:w="3827" w:type="dxa"/>
            <w:shd w:val="clear" w:color="auto" w:fill="auto"/>
            <w:vAlign w:val="center"/>
            <w:hideMark/>
          </w:tcPr>
          <w:p w:rsidR="00024C49" w:rsidRPr="00D1550C" w:rsidRDefault="00024C49" w:rsidP="00024C49">
            <w:pPr>
              <w:rPr>
                <w:rFonts w:cs="Calibri"/>
              </w:rPr>
            </w:pPr>
            <w:r w:rsidRPr="00D1550C">
              <w:rPr>
                <w:rFonts w:cs="Calibri"/>
              </w:rPr>
              <w:t>Official sources (Governments and international institutions)</w:t>
            </w:r>
          </w:p>
        </w:tc>
        <w:tc>
          <w:tcPr>
            <w:tcW w:w="1134" w:type="dxa"/>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12,7</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5,7</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5,0</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12,5</w:t>
            </w:r>
          </w:p>
        </w:tc>
        <w:tc>
          <w:tcPr>
            <w:tcW w:w="1134"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2,0</w:t>
            </w:r>
          </w:p>
        </w:tc>
        <w:tc>
          <w:tcPr>
            <w:tcW w:w="1135"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37,9</w:t>
            </w:r>
          </w:p>
        </w:tc>
      </w:tr>
      <w:tr w:rsidR="00024C49" w:rsidRPr="00D1550C" w:rsidTr="00433BF0">
        <w:trPr>
          <w:gridAfter w:val="1"/>
          <w:wAfter w:w="83" w:type="dxa"/>
          <w:trHeight w:val="455"/>
        </w:trPr>
        <w:tc>
          <w:tcPr>
            <w:tcW w:w="3827" w:type="dxa"/>
            <w:shd w:val="clear" w:color="auto" w:fill="auto"/>
            <w:vAlign w:val="center"/>
          </w:tcPr>
          <w:p w:rsidR="00024C49" w:rsidRPr="00D1550C" w:rsidRDefault="00024C49" w:rsidP="00024C49">
            <w:pPr>
              <w:rPr>
                <w:rFonts w:cs="Calibri"/>
              </w:rPr>
            </w:pPr>
            <w:r w:rsidRPr="00D1550C">
              <w:rPr>
                <w:rFonts w:cs="Calibri"/>
              </w:rPr>
              <w:t>International Bonds</w:t>
            </w:r>
          </w:p>
        </w:tc>
        <w:tc>
          <w:tcPr>
            <w:tcW w:w="1134" w:type="dxa"/>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300,0</w:t>
            </w:r>
          </w:p>
        </w:tc>
        <w:tc>
          <w:tcPr>
            <w:tcW w:w="1135"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300,0</w:t>
            </w:r>
          </w:p>
        </w:tc>
      </w:tr>
      <w:tr w:rsidR="00024C49" w:rsidRPr="00D1550C" w:rsidTr="00433BF0">
        <w:trPr>
          <w:gridAfter w:val="1"/>
          <w:wAfter w:w="83" w:type="dxa"/>
          <w:trHeight w:val="419"/>
        </w:trPr>
        <w:tc>
          <w:tcPr>
            <w:tcW w:w="3827" w:type="dxa"/>
            <w:tcBorders>
              <w:bottom w:val="single" w:sz="4" w:space="0" w:color="5B9BD5" w:themeColor="accent1"/>
            </w:tcBorders>
            <w:shd w:val="clear" w:color="auto" w:fill="BDD6EE" w:themeFill="accent1" w:themeFillTint="66"/>
            <w:noWrap/>
            <w:vAlign w:val="center"/>
            <w:hideMark/>
          </w:tcPr>
          <w:p w:rsidR="00024C49" w:rsidRPr="00D1550C" w:rsidRDefault="00024C49" w:rsidP="00024C49">
            <w:pPr>
              <w:jc w:val="center"/>
              <w:rPr>
                <w:rFonts w:cs="Calibri"/>
              </w:rPr>
            </w:pPr>
            <w:r w:rsidRPr="00D1550C">
              <w:rPr>
                <w:rFonts w:cs="Calibri"/>
              </w:rPr>
              <w:t>TOTAL</w:t>
            </w:r>
          </w:p>
        </w:tc>
        <w:tc>
          <w:tcPr>
            <w:tcW w:w="1134" w:type="dxa"/>
            <w:tcBorders>
              <w:bottom w:val="single" w:sz="4" w:space="0" w:color="5B9BD5" w:themeColor="accent1"/>
              <w:right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686,6</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968,7</w:t>
            </w:r>
          </w:p>
        </w:tc>
        <w:tc>
          <w:tcPr>
            <w:tcW w:w="1134" w:type="dxa"/>
            <w:gridSpan w:val="2"/>
            <w:tcBorders>
              <w:left w:val="single" w:sz="4" w:space="0" w:color="5B9BD5"/>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126,9</w:t>
            </w:r>
          </w:p>
        </w:tc>
        <w:tc>
          <w:tcPr>
            <w:tcW w:w="1134"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118,1</w:t>
            </w:r>
          </w:p>
        </w:tc>
        <w:tc>
          <w:tcPr>
            <w:tcW w:w="1134"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58,1</w:t>
            </w:r>
          </w:p>
        </w:tc>
        <w:tc>
          <w:tcPr>
            <w:tcW w:w="1134" w:type="dxa"/>
            <w:gridSpan w:val="3"/>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337,6</w:t>
            </w:r>
          </w:p>
        </w:tc>
        <w:tc>
          <w:tcPr>
            <w:tcW w:w="1135" w:type="dxa"/>
            <w:gridSpan w:val="2"/>
            <w:tcBorders>
              <w:bottom w:val="single" w:sz="4" w:space="0" w:color="5B9BD5" w:themeColor="accent1"/>
            </w:tcBorders>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18,9</w:t>
            </w:r>
          </w:p>
        </w:tc>
        <w:tc>
          <w:tcPr>
            <w:tcW w:w="1133" w:type="dxa"/>
            <w:gridSpan w:val="2"/>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130" w:type="dxa"/>
            <w:tcBorders>
              <w:bottom w:val="single" w:sz="4" w:space="0" w:color="5B9BD5" w:themeColor="accent1"/>
            </w:tcBorders>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34,4</w:t>
            </w:r>
          </w:p>
        </w:tc>
        <w:tc>
          <w:tcPr>
            <w:tcW w:w="1130" w:type="dxa"/>
            <w:tcBorders>
              <w:bottom w:val="single" w:sz="4" w:space="0" w:color="5B9BD5" w:themeColor="accent1"/>
            </w:tcBorders>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2 349,3</w:t>
            </w:r>
          </w:p>
        </w:tc>
      </w:tr>
      <w:tr w:rsidR="00760DB9" w:rsidRPr="00D1550C" w:rsidTr="00CB300A">
        <w:trPr>
          <w:gridAfter w:val="1"/>
          <w:wAfter w:w="83" w:type="dxa"/>
          <w:trHeight w:val="80"/>
        </w:trPr>
        <w:tc>
          <w:tcPr>
            <w:tcW w:w="3827" w:type="dxa"/>
            <w:vMerge w:val="restart"/>
            <w:tcBorders>
              <w:top w:val="single" w:sz="4" w:space="0" w:color="5B9BD5" w:themeColor="accent1"/>
              <w:left w:val="nil"/>
              <w:bottom w:val="nil"/>
              <w:right w:val="nil"/>
            </w:tcBorders>
            <w:shd w:val="clear" w:color="auto" w:fill="auto"/>
            <w:vAlign w:val="bottom"/>
            <w:hideMark/>
          </w:tcPr>
          <w:p w:rsidR="00760DB9" w:rsidRPr="00D1550C" w:rsidRDefault="00760DB9" w:rsidP="006F7BE3">
            <w:pPr>
              <w:rPr>
                <w:b/>
              </w:rPr>
            </w:pPr>
            <w:r w:rsidRPr="00D1550C">
              <w:rPr>
                <w:rFonts w:cs="Calibri"/>
                <w:b/>
              </w:rPr>
              <w:t>Interests</w:t>
            </w:r>
          </w:p>
        </w:tc>
        <w:tc>
          <w:tcPr>
            <w:tcW w:w="1134" w:type="dxa"/>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2"/>
            <w:tcBorders>
              <w:top w:val="single" w:sz="4" w:space="0" w:color="5B9BD5"/>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2"/>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2"/>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2"/>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4" w:type="dxa"/>
            <w:gridSpan w:val="3"/>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5" w:type="dxa"/>
            <w:gridSpan w:val="2"/>
            <w:tcBorders>
              <w:top w:val="single" w:sz="4" w:space="0" w:color="5B9BD5" w:themeColor="accent1"/>
              <w:left w:val="nil"/>
              <w:bottom w:val="nil"/>
              <w:right w:val="nil"/>
            </w:tcBorders>
          </w:tcPr>
          <w:p w:rsidR="00760DB9" w:rsidRPr="00D1550C" w:rsidRDefault="00760DB9" w:rsidP="006F7BE3">
            <w:pPr>
              <w:jc w:val="center"/>
            </w:pPr>
          </w:p>
        </w:tc>
        <w:tc>
          <w:tcPr>
            <w:tcW w:w="1133" w:type="dxa"/>
            <w:gridSpan w:val="2"/>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0" w:type="dxa"/>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c>
          <w:tcPr>
            <w:tcW w:w="1130" w:type="dxa"/>
            <w:tcBorders>
              <w:top w:val="single" w:sz="4" w:space="0" w:color="5B9BD5" w:themeColor="accent1"/>
              <w:left w:val="nil"/>
              <w:bottom w:val="nil"/>
              <w:right w:val="nil"/>
            </w:tcBorders>
            <w:shd w:val="clear" w:color="auto" w:fill="auto"/>
            <w:noWrap/>
            <w:vAlign w:val="center"/>
            <w:hideMark/>
          </w:tcPr>
          <w:p w:rsidR="00760DB9" w:rsidRPr="00D1550C" w:rsidRDefault="00760DB9" w:rsidP="006F7BE3">
            <w:pPr>
              <w:jc w:val="center"/>
            </w:pPr>
          </w:p>
        </w:tc>
      </w:tr>
      <w:tr w:rsidR="00760DB9" w:rsidRPr="00D1550C" w:rsidTr="00CB300A">
        <w:trPr>
          <w:gridAfter w:val="1"/>
          <w:wAfter w:w="83" w:type="dxa"/>
          <w:trHeight w:val="72"/>
        </w:trPr>
        <w:tc>
          <w:tcPr>
            <w:tcW w:w="3827" w:type="dxa"/>
            <w:vMerge/>
            <w:tcBorders>
              <w:top w:val="nil"/>
              <w:left w:val="nil"/>
              <w:bottom w:val="single" w:sz="4" w:space="0" w:color="5B9BD5" w:themeColor="accent1"/>
              <w:right w:val="nil"/>
            </w:tcBorders>
            <w:vAlign w:val="center"/>
            <w:hideMark/>
          </w:tcPr>
          <w:p w:rsidR="00760DB9" w:rsidRPr="00D1550C" w:rsidRDefault="00760DB9" w:rsidP="006F7BE3"/>
        </w:tc>
        <w:tc>
          <w:tcPr>
            <w:tcW w:w="1134" w:type="dxa"/>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4" w:type="dxa"/>
            <w:gridSpan w:val="2"/>
            <w:tcBorders>
              <w:top w:val="nil"/>
              <w:left w:val="nil"/>
              <w:bottom w:val="single" w:sz="4" w:space="0" w:color="5B9BD5"/>
              <w:right w:val="nil"/>
            </w:tcBorders>
            <w:shd w:val="clear" w:color="auto" w:fill="auto"/>
            <w:noWrap/>
            <w:vAlign w:val="bottom"/>
            <w:hideMark/>
          </w:tcPr>
          <w:p w:rsidR="00760DB9" w:rsidRPr="00D1550C" w:rsidRDefault="00760DB9" w:rsidP="006F7BE3">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4" w:type="dxa"/>
            <w:gridSpan w:val="3"/>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1135" w:type="dxa"/>
            <w:gridSpan w:val="2"/>
            <w:tcBorders>
              <w:top w:val="nil"/>
              <w:left w:val="nil"/>
              <w:bottom w:val="single" w:sz="4" w:space="0" w:color="5B9BD5" w:themeColor="accent1"/>
              <w:right w:val="nil"/>
            </w:tcBorders>
          </w:tcPr>
          <w:p w:rsidR="00760DB9" w:rsidRPr="00D1550C" w:rsidRDefault="00760DB9" w:rsidP="006F7BE3">
            <w:pPr>
              <w:jc w:val="center"/>
            </w:pPr>
          </w:p>
        </w:tc>
        <w:tc>
          <w:tcPr>
            <w:tcW w:w="1133"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pPr>
              <w:jc w:val="center"/>
            </w:pPr>
          </w:p>
        </w:tc>
        <w:tc>
          <w:tcPr>
            <w:tcW w:w="2260"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CB300A">
            <w:pPr>
              <w:ind w:right="165"/>
              <w:jc w:val="right"/>
              <w:rPr>
                <w:sz w:val="20"/>
                <w:szCs w:val="20"/>
              </w:rPr>
            </w:pPr>
            <w:r w:rsidRPr="00D1550C">
              <w:rPr>
                <w:i/>
                <w:sz w:val="20"/>
                <w:szCs w:val="20"/>
              </w:rPr>
              <w:t>(mln. USD)</w:t>
            </w:r>
          </w:p>
        </w:tc>
      </w:tr>
      <w:tr w:rsidR="00760DB9" w:rsidRPr="00D1550C" w:rsidTr="00CB300A">
        <w:trPr>
          <w:gridAfter w:val="1"/>
          <w:wAfter w:w="83" w:type="dxa"/>
          <w:trHeight w:val="387"/>
        </w:trPr>
        <w:tc>
          <w:tcPr>
            <w:tcW w:w="3827" w:type="dxa"/>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cs="Calibri"/>
                <w:b/>
              </w:rPr>
            </w:pPr>
            <w:r w:rsidRPr="00D1550C">
              <w:rPr>
                <w:rFonts w:cs="Calibri"/>
                <w:b/>
              </w:rPr>
              <w:t>Type of creditor</w:t>
            </w:r>
          </w:p>
        </w:tc>
        <w:tc>
          <w:tcPr>
            <w:tcW w:w="1134" w:type="dxa"/>
            <w:tcBorders>
              <w:top w:val="single" w:sz="4" w:space="0" w:color="5B9BD5" w:themeColor="accent1"/>
              <w:righ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2021</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2022</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gridSpan w:val="3"/>
            <w:tcBorders>
              <w:top w:val="single" w:sz="4" w:space="0" w:color="5B9BD5" w:themeColor="accent1"/>
            </w:tcBorders>
            <w:shd w:val="clear" w:color="auto" w:fill="BDD6EE" w:themeFill="accent1" w:themeFillTint="66"/>
            <w:noWrap/>
            <w:vAlign w:val="center"/>
            <w:hideMark/>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2026</w:t>
            </w:r>
          </w:p>
        </w:tc>
        <w:tc>
          <w:tcPr>
            <w:tcW w:w="1135" w:type="dxa"/>
            <w:gridSpan w:val="2"/>
            <w:tcBorders>
              <w:top w:val="single" w:sz="4" w:space="0" w:color="5B9BD5" w:themeColor="accent1"/>
            </w:tcBorders>
            <w:shd w:val="clear" w:color="auto" w:fill="BDD6EE" w:themeFill="accent1" w:themeFillTint="66"/>
            <w:vAlign w:val="center"/>
          </w:tcPr>
          <w:p w:rsidR="00760DB9" w:rsidRPr="00D1550C" w:rsidRDefault="00760DB9" w:rsidP="009733DE">
            <w:pPr>
              <w:jc w:val="center"/>
              <w:rPr>
                <w:rFonts w:asciiTheme="minorHAnsi" w:hAnsiTheme="minorHAnsi" w:cstheme="minorHAnsi"/>
                <w:b/>
              </w:rPr>
            </w:pPr>
            <w:r w:rsidRPr="00D1550C">
              <w:rPr>
                <w:rFonts w:asciiTheme="minorHAnsi" w:hAnsiTheme="minorHAnsi" w:cstheme="minorHAnsi"/>
                <w:b/>
              </w:rPr>
              <w:t>2027</w:t>
            </w:r>
          </w:p>
        </w:tc>
        <w:tc>
          <w:tcPr>
            <w:tcW w:w="1133" w:type="dxa"/>
            <w:gridSpan w:val="2"/>
            <w:tcBorders>
              <w:top w:val="single" w:sz="4" w:space="0" w:color="5B9BD5" w:themeColor="accent1"/>
            </w:tcBorders>
            <w:shd w:val="clear" w:color="auto" w:fill="BDD6EE" w:themeFill="accent1" w:themeFillTint="66"/>
            <w:noWrap/>
            <w:vAlign w:val="center"/>
            <w:hideMark/>
          </w:tcPr>
          <w:p w:rsidR="00760DB9" w:rsidRPr="00D1550C" w:rsidRDefault="00760DB9" w:rsidP="00760DB9">
            <w:pPr>
              <w:jc w:val="center"/>
              <w:rPr>
                <w:rFonts w:asciiTheme="minorHAnsi" w:hAnsiTheme="minorHAnsi" w:cstheme="minorHAnsi"/>
                <w:b/>
              </w:rPr>
            </w:pPr>
            <w:r w:rsidRPr="00D1550C">
              <w:rPr>
                <w:rFonts w:asciiTheme="minorHAnsi" w:hAnsiTheme="minorHAnsi" w:cstheme="minorHAnsi"/>
                <w:b/>
              </w:rPr>
              <w:t>2028</w:t>
            </w:r>
          </w:p>
        </w:tc>
        <w:tc>
          <w:tcPr>
            <w:tcW w:w="1130" w:type="dxa"/>
            <w:tcBorders>
              <w:top w:val="single" w:sz="4" w:space="0" w:color="5B9BD5" w:themeColor="accent1"/>
            </w:tcBorders>
            <w:shd w:val="clear" w:color="auto" w:fill="BDD6EE" w:themeFill="accent1" w:themeFillTint="66"/>
            <w:noWrap/>
            <w:vAlign w:val="center"/>
            <w:hideMark/>
          </w:tcPr>
          <w:p w:rsidR="00760DB9" w:rsidRPr="00D1550C" w:rsidRDefault="00760DB9" w:rsidP="00760DB9">
            <w:pPr>
              <w:jc w:val="center"/>
              <w:rPr>
                <w:b/>
              </w:rPr>
            </w:pPr>
            <w:r w:rsidRPr="00D1550C">
              <w:rPr>
                <w:rFonts w:cs="Calibri"/>
                <w:b/>
              </w:rPr>
              <w:t>after 2028</w:t>
            </w:r>
          </w:p>
        </w:tc>
        <w:tc>
          <w:tcPr>
            <w:tcW w:w="1130" w:type="dxa"/>
            <w:tcBorders>
              <w:top w:val="single" w:sz="4" w:space="0" w:color="5B9BD5" w:themeColor="accent1"/>
            </w:tcBorders>
            <w:shd w:val="clear" w:color="auto" w:fill="BDD6EE" w:themeFill="accent1" w:themeFillTint="66"/>
            <w:vAlign w:val="center"/>
            <w:hideMark/>
          </w:tcPr>
          <w:p w:rsidR="00760DB9" w:rsidRPr="00D1550C" w:rsidRDefault="00760DB9" w:rsidP="009733DE">
            <w:pPr>
              <w:jc w:val="center"/>
              <w:rPr>
                <w:rFonts w:cs="Calibri"/>
                <w:b/>
              </w:rPr>
            </w:pPr>
            <w:r w:rsidRPr="00D1550C">
              <w:rPr>
                <w:rFonts w:cs="Calibri"/>
                <w:b/>
              </w:rPr>
              <w:t>TOTAL</w:t>
            </w:r>
          </w:p>
        </w:tc>
      </w:tr>
      <w:tr w:rsidR="00024C49" w:rsidRPr="00D1550C" w:rsidTr="00CB300A">
        <w:trPr>
          <w:gridAfter w:val="1"/>
          <w:wAfter w:w="83" w:type="dxa"/>
          <w:trHeight w:val="493"/>
        </w:trPr>
        <w:tc>
          <w:tcPr>
            <w:tcW w:w="3827" w:type="dxa"/>
            <w:shd w:val="clear" w:color="auto" w:fill="auto"/>
            <w:vAlign w:val="center"/>
            <w:hideMark/>
          </w:tcPr>
          <w:p w:rsidR="00024C49" w:rsidRPr="00D1550C" w:rsidRDefault="00024C49" w:rsidP="00024C49">
            <w:pPr>
              <w:rPr>
                <w:rFonts w:cs="Calibri"/>
              </w:rPr>
            </w:pPr>
            <w:r w:rsidRPr="00D1550C">
              <w:rPr>
                <w:rFonts w:cs="Calibri"/>
              </w:rPr>
              <w:t>Foreign banks and other financial institutions</w:t>
            </w:r>
          </w:p>
        </w:tc>
        <w:tc>
          <w:tcPr>
            <w:tcW w:w="1134" w:type="dxa"/>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13,6</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4,5</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3,6</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2,9</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2,5</w:t>
            </w:r>
          </w:p>
        </w:tc>
        <w:tc>
          <w:tcPr>
            <w:tcW w:w="1134"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1,4</w:t>
            </w:r>
          </w:p>
        </w:tc>
        <w:tc>
          <w:tcPr>
            <w:tcW w:w="1135"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0,6</w:t>
            </w:r>
          </w:p>
        </w:tc>
        <w:tc>
          <w:tcPr>
            <w:tcW w:w="113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29,1</w:t>
            </w:r>
          </w:p>
        </w:tc>
      </w:tr>
      <w:tr w:rsidR="00024C49" w:rsidRPr="00D1550C" w:rsidTr="00CB300A">
        <w:trPr>
          <w:gridAfter w:val="1"/>
          <w:wAfter w:w="83" w:type="dxa"/>
          <w:trHeight w:val="510"/>
        </w:trPr>
        <w:tc>
          <w:tcPr>
            <w:tcW w:w="3827" w:type="dxa"/>
            <w:shd w:val="clear" w:color="auto" w:fill="auto"/>
            <w:vAlign w:val="center"/>
            <w:hideMark/>
          </w:tcPr>
          <w:p w:rsidR="00024C49" w:rsidRPr="00D1550C" w:rsidRDefault="00024C49" w:rsidP="00024C49">
            <w:pPr>
              <w:rPr>
                <w:rFonts w:cs="Calibri"/>
              </w:rPr>
            </w:pPr>
            <w:r w:rsidRPr="00D1550C">
              <w:rPr>
                <w:rFonts w:cs="Calibri"/>
              </w:rPr>
              <w:t>Foreign parent companies and branches</w:t>
            </w:r>
          </w:p>
        </w:tc>
        <w:tc>
          <w:tcPr>
            <w:tcW w:w="1134" w:type="dxa"/>
            <w:tcBorders>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tcBorders>
              <w:left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5"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r>
      <w:tr w:rsidR="00024C49" w:rsidRPr="00D1550C" w:rsidTr="00CB300A">
        <w:trPr>
          <w:gridAfter w:val="1"/>
          <w:wAfter w:w="83" w:type="dxa"/>
          <w:trHeight w:val="510"/>
        </w:trPr>
        <w:tc>
          <w:tcPr>
            <w:tcW w:w="3827" w:type="dxa"/>
            <w:shd w:val="clear" w:color="auto" w:fill="auto"/>
            <w:vAlign w:val="center"/>
            <w:hideMark/>
          </w:tcPr>
          <w:p w:rsidR="00024C49" w:rsidRPr="00D1550C" w:rsidRDefault="00024C49" w:rsidP="00024C49">
            <w:pPr>
              <w:rPr>
                <w:rFonts w:cs="Calibri"/>
              </w:rPr>
            </w:pPr>
            <w:r w:rsidRPr="00D1550C">
              <w:rPr>
                <w:rFonts w:cs="Calibri"/>
              </w:rPr>
              <w:t>Exporters and other private sources</w:t>
            </w:r>
          </w:p>
        </w:tc>
        <w:tc>
          <w:tcPr>
            <w:tcW w:w="1134"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11,2</w:t>
            </w:r>
          </w:p>
        </w:tc>
        <w:tc>
          <w:tcPr>
            <w:tcW w:w="1134" w:type="dxa"/>
            <w:gridSpan w:val="2"/>
            <w:tcBorders>
              <w:top w:val="single" w:sz="4" w:space="0" w:color="5B9BD5"/>
            </w:tcBorders>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0,4</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0,1</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0,1</w:t>
            </w:r>
          </w:p>
        </w:tc>
        <w:tc>
          <w:tcPr>
            <w:tcW w:w="1134"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0,0</w:t>
            </w:r>
          </w:p>
        </w:tc>
        <w:tc>
          <w:tcPr>
            <w:tcW w:w="1135"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11,9</w:t>
            </w:r>
          </w:p>
        </w:tc>
      </w:tr>
      <w:tr w:rsidR="00024C49" w:rsidRPr="00D1550C" w:rsidTr="00CB300A">
        <w:trPr>
          <w:gridAfter w:val="1"/>
          <w:wAfter w:w="83" w:type="dxa"/>
          <w:trHeight w:val="85"/>
        </w:trPr>
        <w:tc>
          <w:tcPr>
            <w:tcW w:w="3827" w:type="dxa"/>
            <w:shd w:val="clear" w:color="auto" w:fill="auto"/>
            <w:vAlign w:val="center"/>
            <w:hideMark/>
          </w:tcPr>
          <w:p w:rsidR="00024C49" w:rsidRPr="00D1550C" w:rsidRDefault="00024C49" w:rsidP="00024C49">
            <w:pPr>
              <w:rPr>
                <w:rFonts w:cs="Calibri"/>
              </w:rPr>
            </w:pPr>
            <w:r w:rsidRPr="00D1550C">
              <w:rPr>
                <w:rFonts w:cs="Calibri"/>
              </w:rPr>
              <w:t>Official sources (Governments and international institutions)</w:t>
            </w:r>
          </w:p>
        </w:tc>
        <w:tc>
          <w:tcPr>
            <w:tcW w:w="1134"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3,7</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4"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0,1</w:t>
            </w:r>
          </w:p>
        </w:tc>
        <w:tc>
          <w:tcPr>
            <w:tcW w:w="1134" w:type="dxa"/>
            <w:gridSpan w:val="3"/>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5" w:type="dxa"/>
            <w:gridSpan w:val="2"/>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3" w:type="dxa"/>
            <w:gridSpan w:val="2"/>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noWrap/>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w:t>
            </w:r>
          </w:p>
        </w:tc>
        <w:tc>
          <w:tcPr>
            <w:tcW w:w="1130" w:type="dxa"/>
            <w:shd w:val="clear" w:color="auto" w:fill="auto"/>
            <w:vAlign w:val="center"/>
          </w:tcPr>
          <w:p w:rsidR="00024C49" w:rsidRPr="00D1550C" w:rsidRDefault="00024C49" w:rsidP="00024C49">
            <w:pPr>
              <w:jc w:val="center"/>
              <w:rPr>
                <w:rFonts w:asciiTheme="minorHAnsi" w:hAnsiTheme="minorHAnsi" w:cstheme="minorHAnsi"/>
                <w:color w:val="000000"/>
              </w:rPr>
            </w:pPr>
            <w:r w:rsidRPr="00D1550C">
              <w:rPr>
                <w:rFonts w:asciiTheme="minorHAnsi" w:hAnsiTheme="minorHAnsi" w:cstheme="minorHAnsi"/>
                <w:color w:val="000000"/>
              </w:rPr>
              <w:t>3,8</w:t>
            </w:r>
          </w:p>
        </w:tc>
      </w:tr>
      <w:tr w:rsidR="00024C49" w:rsidRPr="00D1550C" w:rsidTr="00433BF0">
        <w:trPr>
          <w:gridAfter w:val="1"/>
          <w:wAfter w:w="83" w:type="dxa"/>
          <w:trHeight w:val="432"/>
        </w:trPr>
        <w:tc>
          <w:tcPr>
            <w:tcW w:w="3827" w:type="dxa"/>
            <w:shd w:val="clear" w:color="auto" w:fill="BDD6EE" w:themeFill="accent1" w:themeFillTint="66"/>
            <w:noWrap/>
            <w:vAlign w:val="center"/>
            <w:hideMark/>
          </w:tcPr>
          <w:p w:rsidR="00024C49" w:rsidRPr="00D1550C" w:rsidRDefault="00024C49" w:rsidP="00024C49">
            <w:pPr>
              <w:jc w:val="center"/>
              <w:rPr>
                <w:rFonts w:cs="Calibri"/>
              </w:rPr>
            </w:pPr>
            <w:r w:rsidRPr="00D1550C">
              <w:rPr>
                <w:rFonts w:cs="Calibri"/>
              </w:rPr>
              <w:t>TOTAL</w:t>
            </w:r>
          </w:p>
        </w:tc>
        <w:tc>
          <w:tcPr>
            <w:tcW w:w="1134"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28,5</w:t>
            </w:r>
          </w:p>
        </w:tc>
        <w:tc>
          <w:tcPr>
            <w:tcW w:w="1134"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4,9</w:t>
            </w:r>
          </w:p>
        </w:tc>
        <w:tc>
          <w:tcPr>
            <w:tcW w:w="1134"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3,7</w:t>
            </w:r>
          </w:p>
        </w:tc>
        <w:tc>
          <w:tcPr>
            <w:tcW w:w="1134"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2,9</w:t>
            </w:r>
          </w:p>
        </w:tc>
        <w:tc>
          <w:tcPr>
            <w:tcW w:w="1134"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2,7</w:t>
            </w:r>
          </w:p>
        </w:tc>
        <w:tc>
          <w:tcPr>
            <w:tcW w:w="1134" w:type="dxa"/>
            <w:gridSpan w:val="3"/>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1,4</w:t>
            </w:r>
          </w:p>
        </w:tc>
        <w:tc>
          <w:tcPr>
            <w:tcW w:w="1135" w:type="dxa"/>
            <w:gridSpan w:val="2"/>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0,6</w:t>
            </w:r>
          </w:p>
        </w:tc>
        <w:tc>
          <w:tcPr>
            <w:tcW w:w="1133" w:type="dxa"/>
            <w:gridSpan w:val="2"/>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130" w:type="dxa"/>
            <w:shd w:val="clear" w:color="auto" w:fill="BDD6EE" w:themeFill="accent1" w:themeFillTint="66"/>
            <w:noWrap/>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w:t>
            </w:r>
          </w:p>
        </w:tc>
        <w:tc>
          <w:tcPr>
            <w:tcW w:w="1130" w:type="dxa"/>
            <w:shd w:val="clear" w:color="auto" w:fill="BDD6EE" w:themeFill="accent1" w:themeFillTint="66"/>
            <w:vAlign w:val="center"/>
          </w:tcPr>
          <w:p w:rsidR="00024C49" w:rsidRPr="00D1550C" w:rsidRDefault="00024C49" w:rsidP="00024C49">
            <w:pPr>
              <w:jc w:val="center"/>
              <w:rPr>
                <w:rFonts w:asciiTheme="minorHAnsi" w:hAnsiTheme="minorHAnsi" w:cstheme="minorHAnsi"/>
                <w:b/>
              </w:rPr>
            </w:pPr>
            <w:r w:rsidRPr="00D1550C">
              <w:rPr>
                <w:rFonts w:asciiTheme="minorHAnsi" w:hAnsiTheme="minorHAnsi" w:cstheme="minorHAnsi"/>
                <w:b/>
              </w:rPr>
              <w:t>44,8</w:t>
            </w:r>
          </w:p>
        </w:tc>
      </w:tr>
    </w:tbl>
    <w:p w:rsidR="009304D9" w:rsidRPr="00D1550C" w:rsidRDefault="009304D9" w:rsidP="009304D9">
      <w:pPr>
        <w:rPr>
          <w:rFonts w:cs="Arial"/>
          <w:sz w:val="2"/>
          <w:szCs w:val="2"/>
        </w:rPr>
      </w:pPr>
    </w:p>
    <w:p w:rsidR="009304D9" w:rsidRPr="00D1550C" w:rsidRDefault="009304D9" w:rsidP="00F11B6E">
      <w:pPr>
        <w:jc w:val="right"/>
        <w:rPr>
          <w:i/>
        </w:rPr>
      </w:pPr>
    </w:p>
    <w:p w:rsidR="004817AF" w:rsidRPr="00D1550C" w:rsidRDefault="004817AF" w:rsidP="00F11B6E">
      <w:pPr>
        <w:jc w:val="right"/>
        <w:rPr>
          <w:i/>
        </w:rPr>
      </w:pPr>
    </w:p>
    <w:p w:rsidR="004817AF" w:rsidRPr="00D1550C" w:rsidRDefault="004817AF" w:rsidP="004817AF">
      <w:pPr>
        <w:jc w:val="both"/>
        <w:rPr>
          <w:rFonts w:cs="Arial"/>
        </w:rPr>
        <w:sectPr w:rsidR="004817AF" w:rsidRPr="00D1550C" w:rsidSect="00F40724">
          <w:footerReference w:type="first" r:id="rId52"/>
          <w:pgSz w:w="16838" w:h="11906" w:orient="landscape" w:code="9"/>
          <w:pgMar w:top="567" w:right="1021" w:bottom="1133" w:left="737" w:header="709" w:footer="709" w:gutter="0"/>
          <w:cols w:space="708"/>
          <w:titlePg/>
          <w:docGrid w:linePitch="360"/>
        </w:sectPr>
      </w:pPr>
    </w:p>
    <w:p w:rsidR="004817AF" w:rsidRPr="00D1550C" w:rsidRDefault="004817AF" w:rsidP="004817AF">
      <w:pPr>
        <w:pStyle w:val="1"/>
        <w:ind w:left="0"/>
        <w:rPr>
          <w:rFonts w:ascii="Calibri" w:hAnsi="Calibri"/>
          <w:szCs w:val="28"/>
          <w:lang w:val="en-US"/>
        </w:rPr>
      </w:pPr>
      <w:bookmarkStart w:id="44" w:name="_Toc4780078"/>
      <w:bookmarkStart w:id="45" w:name="_Toc36453592"/>
      <w:bookmarkStart w:id="46" w:name="_Toc83291146"/>
      <w:r w:rsidRPr="00D1550C">
        <w:rPr>
          <w:rFonts w:ascii="Calibri" w:hAnsi="Calibri"/>
          <w:lang w:val="en-US"/>
        </w:rPr>
        <w:lastRenderedPageBreak/>
        <w:t>METHODOLOGICAL COMMENTS</w:t>
      </w:r>
      <w:bookmarkEnd w:id="44"/>
      <w:bookmarkEnd w:id="45"/>
      <w:bookmarkEnd w:id="46"/>
    </w:p>
    <w:p w:rsidR="004817AF" w:rsidRPr="00D1550C" w:rsidRDefault="004817AF" w:rsidP="004817AF"/>
    <w:p w:rsidR="004817AF" w:rsidRPr="00D1550C" w:rsidRDefault="004817AF" w:rsidP="004817AF">
      <w:pPr>
        <w:ind w:right="566" w:firstLine="283"/>
        <w:jc w:val="both"/>
      </w:pPr>
    </w:p>
    <w:p w:rsidR="004817AF" w:rsidRPr="00D1550C" w:rsidRDefault="004817AF" w:rsidP="004817AF">
      <w:pPr>
        <w:ind w:right="566" w:firstLine="283"/>
        <w:jc w:val="both"/>
        <w:rPr>
          <w:b/>
        </w:rPr>
        <w:sectPr w:rsidR="004817AF" w:rsidRPr="00D1550C" w:rsidSect="00112CDC">
          <w:footerReference w:type="first" r:id="rId53"/>
          <w:pgSz w:w="11906" w:h="16838"/>
          <w:pgMar w:top="1134" w:right="991" w:bottom="1134" w:left="1134" w:header="708" w:footer="708" w:gutter="0"/>
          <w:cols w:space="708"/>
          <w:titlePg/>
          <w:docGrid w:linePitch="360"/>
        </w:sectPr>
      </w:pPr>
    </w:p>
    <w:p w:rsidR="004817AF" w:rsidRPr="00D1550C" w:rsidRDefault="004817AF" w:rsidP="004817AF">
      <w:pPr>
        <w:jc w:val="both"/>
      </w:pPr>
      <w:r w:rsidRPr="00D1550C">
        <w:lastRenderedPageBreak/>
        <w:t>Since 2018, the Central bank started the compilation of the balance of payments, international investment position and external debt in accordance with the Balance of Payments and International Investment Position Manual (BPM6. IMF, 2009).</w:t>
      </w:r>
    </w:p>
    <w:p w:rsidR="004817AF" w:rsidRPr="00D1550C" w:rsidRDefault="004817AF" w:rsidP="004817AF">
      <w:pPr>
        <w:spacing w:before="120"/>
        <w:jc w:val="both"/>
        <w:rPr>
          <w:rFonts w:cs="Calibri"/>
          <w:szCs w:val="22"/>
        </w:rPr>
      </w:pPr>
      <w:r w:rsidRPr="00D1550C">
        <w:rPr>
          <w:rFonts w:cs="Calibri"/>
          <w:szCs w:val="22"/>
        </w:rPr>
        <w:t>The purpose of compiling external sector statistics (balance of payments and international investment position) is to provide an integrated foundation for analyzing the foreign economic activity of the country, including its indicators, exchange rate policy, reserve management and external vulnerability to possible risks</w:t>
      </w:r>
    </w:p>
    <w:p w:rsidR="004817AF" w:rsidRPr="00D1550C" w:rsidRDefault="004817AF" w:rsidP="004817AF">
      <w:pPr>
        <w:spacing w:before="120"/>
        <w:jc w:val="both"/>
      </w:pPr>
      <w:r w:rsidRPr="00D1550C">
        <w:t>The balance of payments, international investment position and external debt of the Republic of Uzbekistan are published on quarterly basis.</w:t>
      </w:r>
    </w:p>
    <w:p w:rsidR="004817AF" w:rsidRPr="00D1550C" w:rsidRDefault="004817AF" w:rsidP="004817AF">
      <w:pPr>
        <w:spacing w:before="120"/>
        <w:jc w:val="both"/>
      </w:pPr>
      <w:r w:rsidRPr="00D1550C">
        <w:t>Balance of payments, international investment position, and external debt statistics can be revised regularly based on the latest available data.</w:t>
      </w:r>
    </w:p>
    <w:p w:rsidR="004817AF" w:rsidRPr="00D1550C" w:rsidRDefault="004817AF" w:rsidP="004817AF">
      <w:pPr>
        <w:spacing w:before="120"/>
        <w:jc w:val="both"/>
      </w:pPr>
      <w:r w:rsidRPr="00D1550C">
        <w:t>The current methodological comments are derived from Balance of Payments and International Investment Position Manual (BPM6. IMF, 2009) and intended to help users to better understand the foundations, principles, and structure of the balance of payments.</w:t>
      </w:r>
    </w:p>
    <w:p w:rsidR="004817AF" w:rsidRPr="00D1550C" w:rsidRDefault="004817AF" w:rsidP="004817AF">
      <w:pPr>
        <w:spacing w:before="120"/>
        <w:rPr>
          <w:b/>
        </w:rPr>
      </w:pPr>
      <w:r w:rsidRPr="00D1550C">
        <w:rPr>
          <w:b/>
        </w:rPr>
        <w:t xml:space="preserve">1.1. Methodological standards of the balance of payments </w:t>
      </w:r>
    </w:p>
    <w:p w:rsidR="004817AF" w:rsidRPr="00D1550C" w:rsidRDefault="004817AF" w:rsidP="004817AF">
      <w:pPr>
        <w:spacing w:before="120"/>
        <w:jc w:val="both"/>
      </w:pPr>
      <w:r w:rsidRPr="00D1550C">
        <w:t xml:space="preserve">The balance of payments (BOP) is a systemized, macroeconomic and statistical report, which reflects the summarized economic </w:t>
      </w:r>
      <w:r w:rsidRPr="00D1550C">
        <w:rPr>
          <w:u w:val="single"/>
        </w:rPr>
        <w:t>transactions between residents and non-residents for a certain period</w:t>
      </w:r>
      <w:r w:rsidRPr="00D1550C">
        <w:t xml:space="preserve">. The data is classified and compiled based on BPM6 and in accordance with the international standards. </w:t>
      </w:r>
    </w:p>
    <w:p w:rsidR="004817AF" w:rsidRPr="00D1550C" w:rsidRDefault="004817AF" w:rsidP="004817AF">
      <w:pPr>
        <w:spacing w:before="120"/>
        <w:jc w:val="both"/>
        <w:rPr>
          <w:b/>
        </w:rPr>
      </w:pPr>
      <w:r w:rsidRPr="00D1550C">
        <w:rPr>
          <w:b/>
        </w:rPr>
        <w:t>Definitions and main principles.</w:t>
      </w:r>
    </w:p>
    <w:p w:rsidR="004817AF" w:rsidRPr="00D1550C" w:rsidRDefault="004817AF" w:rsidP="004817AF">
      <w:pPr>
        <w:spacing w:before="120"/>
        <w:jc w:val="both"/>
      </w:pPr>
      <w:r w:rsidRPr="00D1550C">
        <w:t xml:space="preserve">The structure of balance of payments consists of the current account, the capital account and the financial account. The current account covers the trade balance of goods and services, as well as balances of primary and secondary income. The </w:t>
      </w:r>
      <w:r w:rsidRPr="00D1550C">
        <w:lastRenderedPageBreak/>
        <w:t>capital account reflects acquisition/disposal of non-produced, non-financial assets and capital transfers. The financial account is divided into direct investment, portfolio investment, financial derivatives, other investments and reserve assets.</w:t>
      </w:r>
    </w:p>
    <w:p w:rsidR="004817AF" w:rsidRPr="00D1550C" w:rsidRDefault="004817AF" w:rsidP="004817AF">
      <w:pPr>
        <w:spacing w:before="120"/>
        <w:jc w:val="both"/>
      </w:pPr>
      <w:r w:rsidRPr="00D1550C">
        <w:t>The sum of current and capital account balances is net lending to the rest of the world. Conceptually, it is equal to the balance of financial account. Financial account operations plus exchange rate, price and other changes reflect the difference between the beginning and the end stocks of the international investment position.</w:t>
      </w:r>
    </w:p>
    <w:p w:rsidR="004817AF" w:rsidRPr="00D1550C" w:rsidRDefault="004817AF" w:rsidP="004817AF">
      <w:pPr>
        <w:spacing w:before="120"/>
        <w:jc w:val="both"/>
      </w:pPr>
      <w:r w:rsidRPr="00D1550C">
        <w:rPr>
          <w:b/>
        </w:rPr>
        <w:t xml:space="preserve">An economic unit </w:t>
      </w:r>
      <w:r w:rsidRPr="00D1550C">
        <w:t>is considered as a resident unit when it has a center of economic interest and a permanent location in the economic territory of a country for more than one year</w:t>
      </w:r>
      <w:r w:rsidRPr="00D1550C">
        <w:rPr>
          <w:b/>
        </w:rPr>
        <w:t xml:space="preserve">. </w:t>
      </w:r>
      <w:r w:rsidRPr="00D1550C">
        <w:t xml:space="preserve">At the same time for individuals, residence is determined regardless of citizenship. </w:t>
      </w:r>
    </w:p>
    <w:p w:rsidR="004817AF" w:rsidRPr="00D1550C" w:rsidRDefault="004817AF" w:rsidP="004817AF">
      <w:pPr>
        <w:spacing w:before="120"/>
        <w:jc w:val="both"/>
        <w:rPr>
          <w:color w:val="FF0000"/>
        </w:rPr>
      </w:pPr>
      <w:r w:rsidRPr="00D1550C">
        <w:rPr>
          <w:b/>
        </w:rPr>
        <w:t xml:space="preserve">The economic territory </w:t>
      </w:r>
      <w:r w:rsidRPr="00D1550C">
        <w:t xml:space="preserve">of a country consists of its geographic territory administered by a government and is subject to the same legislation. </w:t>
      </w:r>
    </w:p>
    <w:p w:rsidR="004817AF" w:rsidRPr="00D1550C" w:rsidRDefault="004817AF" w:rsidP="004817AF">
      <w:pPr>
        <w:spacing w:before="120"/>
        <w:jc w:val="both"/>
        <w:rPr>
          <w:rFonts w:cs="Calibri"/>
          <w:szCs w:val="22"/>
        </w:rPr>
      </w:pPr>
      <w:r w:rsidRPr="00D1550C">
        <w:rPr>
          <w:rFonts w:cs="Calibri"/>
          <w:szCs w:val="22"/>
        </w:rPr>
        <w:t xml:space="preserve">An individual or legal person is considered </w:t>
      </w:r>
      <w:r w:rsidRPr="00D1550C">
        <w:rPr>
          <w:rFonts w:cs="Calibri"/>
          <w:szCs w:val="22"/>
        </w:rPr>
        <w:br/>
        <w:t xml:space="preserve">to </w:t>
      </w:r>
      <w:r w:rsidRPr="00D1550C">
        <w:rPr>
          <w:rFonts w:cs="Calibri"/>
          <w:b/>
          <w:szCs w:val="22"/>
        </w:rPr>
        <w:t xml:space="preserve">have a center of economic interest </w:t>
      </w:r>
      <w:r w:rsidRPr="00D1550C">
        <w:rPr>
          <w:rFonts w:cs="Calibri"/>
          <w:szCs w:val="22"/>
        </w:rPr>
        <w:t>within a country when they have some location – a dwelling, place of production or other premises – within the economic territory of the country for either indefinitely or over a finite but long period of time.</w:t>
      </w:r>
    </w:p>
    <w:p w:rsidR="004817AF" w:rsidRPr="00D1550C" w:rsidRDefault="004817AF" w:rsidP="004817AF">
      <w:pPr>
        <w:spacing w:before="120"/>
        <w:jc w:val="both"/>
        <w:rPr>
          <w:b/>
        </w:rPr>
      </w:pPr>
      <w:r w:rsidRPr="00D1550C">
        <w:rPr>
          <w:b/>
        </w:rPr>
        <w:t>Economic sectors</w:t>
      </w:r>
    </w:p>
    <w:p w:rsidR="004817AF" w:rsidRPr="00D1550C" w:rsidRDefault="004817AF" w:rsidP="004817AF">
      <w:pPr>
        <w:spacing w:before="120"/>
        <w:jc w:val="both"/>
        <w:rPr>
          <w:b/>
        </w:rPr>
      </w:pPr>
      <w:r w:rsidRPr="00D1550C">
        <w:t>The financial account components of the BOP – direct investment, portfolio investment, financial derivatives, and other investment – are disaggregated by the economic sector of the residents involved in the operations. Four economic sectors are distinguished</w:t>
      </w:r>
      <w:r w:rsidRPr="00D1550C">
        <w:rPr>
          <w:b/>
        </w:rPr>
        <w:t>:</w:t>
      </w:r>
    </w:p>
    <w:p w:rsidR="004817AF" w:rsidRPr="00D1550C" w:rsidRDefault="004817AF" w:rsidP="004817AF">
      <w:pPr>
        <w:spacing w:before="120"/>
        <w:jc w:val="both"/>
        <w:rPr>
          <w:rFonts w:ascii="Times New Roman" w:hAnsi="Times New Roman"/>
          <w:sz w:val="22"/>
          <w:szCs w:val="22"/>
        </w:rPr>
      </w:pPr>
      <w:r w:rsidRPr="00D1550C">
        <w:rPr>
          <w:rFonts w:ascii="Times New Roman" w:hAnsi="Times New Roman"/>
          <w:sz w:val="22"/>
          <w:szCs w:val="22"/>
        </w:rPr>
        <w:t xml:space="preserve">- </w:t>
      </w:r>
      <w:r w:rsidRPr="00D1550C">
        <w:rPr>
          <w:rFonts w:cs="Calibri"/>
        </w:rPr>
        <w:t>Central bank – the Central Bank of Uzbekistan</w:t>
      </w:r>
      <w:r w:rsidRPr="00D1550C">
        <w:t>;</w:t>
      </w:r>
    </w:p>
    <w:p w:rsidR="004817AF" w:rsidRPr="00D1550C" w:rsidRDefault="004817AF" w:rsidP="004817AF">
      <w:pPr>
        <w:spacing w:before="120"/>
        <w:jc w:val="both"/>
      </w:pPr>
      <w:r w:rsidRPr="00D1550C">
        <w:t>- Deposit-taking corporations, except central bank - commercial banks of Uzbekistan;</w:t>
      </w:r>
    </w:p>
    <w:p w:rsidR="004817AF" w:rsidRPr="00D1550C" w:rsidRDefault="004817AF" w:rsidP="004817AF">
      <w:pPr>
        <w:spacing w:before="120"/>
        <w:jc w:val="both"/>
      </w:pPr>
      <w:r w:rsidRPr="00D1550C">
        <w:t>- General government – which comprises central government institutions and local public authorities;</w:t>
      </w:r>
    </w:p>
    <w:p w:rsidR="004817AF" w:rsidRPr="00D1550C" w:rsidRDefault="004817AF" w:rsidP="004817AF">
      <w:pPr>
        <w:spacing w:before="120"/>
        <w:jc w:val="both"/>
        <w:rPr>
          <w:rFonts w:ascii="Times New Roman" w:hAnsi="Times New Roman"/>
          <w:sz w:val="22"/>
          <w:szCs w:val="22"/>
        </w:rPr>
      </w:pPr>
      <w:r w:rsidRPr="00D1550C">
        <w:rPr>
          <w:color w:val="FF0000"/>
        </w:rPr>
        <w:lastRenderedPageBreak/>
        <w:t>- </w:t>
      </w:r>
      <w:r w:rsidRPr="00D1550C">
        <w:rPr>
          <w:rFonts w:cs="Calibri"/>
          <w:szCs w:val="22"/>
        </w:rPr>
        <w:t>Other sectors, subdivided in two categories: other financial corporations (microfinance organizations, insurance companies and others) and non-financial corporations, households and non-profit institutions serving households (NPISH)</w:t>
      </w:r>
    </w:p>
    <w:p w:rsidR="004817AF" w:rsidRPr="00D1550C" w:rsidRDefault="004817AF" w:rsidP="004817AF">
      <w:pPr>
        <w:spacing w:before="120"/>
        <w:jc w:val="both"/>
        <w:rPr>
          <w:b/>
        </w:rPr>
      </w:pPr>
      <w:r w:rsidRPr="00D1550C">
        <w:rPr>
          <w:b/>
        </w:rPr>
        <w:t>Types of Transactions</w:t>
      </w:r>
    </w:p>
    <w:p w:rsidR="004817AF" w:rsidRPr="00D1550C" w:rsidRDefault="004817AF" w:rsidP="004817AF">
      <w:pPr>
        <w:spacing w:before="120"/>
        <w:jc w:val="both"/>
      </w:pPr>
      <w:r w:rsidRPr="00D1550C">
        <w:t>-  exchanges – most transactions likely to be recorded in the balance of payments can be characterized as exchanges in which one transactor provides an economic value to another transactor and receives equal value in return. Most transactions reflected in the balance of payments can be characterized as exchanges;</w:t>
      </w:r>
    </w:p>
    <w:p w:rsidR="004817AF" w:rsidRPr="00D1550C" w:rsidRDefault="004817AF" w:rsidP="004817AF">
      <w:pPr>
        <w:spacing w:before="120"/>
        <w:jc w:val="both"/>
      </w:pPr>
      <w:r w:rsidRPr="00D1550C">
        <w:t>-  transfers – transactions in which one transactor provides economic value to another transactor and does not receive equivalent value in return;</w:t>
      </w:r>
    </w:p>
    <w:p w:rsidR="004817AF" w:rsidRPr="00D1550C" w:rsidRDefault="004817AF" w:rsidP="004817AF">
      <w:pPr>
        <w:spacing w:before="120"/>
        <w:jc w:val="both"/>
      </w:pPr>
      <w:r w:rsidRPr="00D1550C">
        <w:t>-imputed transactions – when transactions are imputed and entries are made in the balance of payments accounts when no actual payment occurs i.e. accrual of interest.</w:t>
      </w:r>
    </w:p>
    <w:p w:rsidR="004817AF" w:rsidRPr="00D1550C" w:rsidRDefault="004817AF" w:rsidP="004817AF">
      <w:pPr>
        <w:spacing w:before="120"/>
        <w:jc w:val="both"/>
      </w:pPr>
      <w:r w:rsidRPr="00D1550C">
        <w:t>The transactions mentioned above are reflected in the accounts of BOP as follows:</w:t>
      </w:r>
    </w:p>
    <w:p w:rsidR="004817AF" w:rsidRPr="00D1550C" w:rsidRDefault="004817AF" w:rsidP="004817AF">
      <w:pPr>
        <w:spacing w:before="120"/>
        <w:jc w:val="both"/>
        <w:rPr>
          <w:b/>
        </w:rPr>
      </w:pPr>
      <w:r w:rsidRPr="00D1550C">
        <w:rPr>
          <w:b/>
        </w:rPr>
        <w:t xml:space="preserve">Goods </w:t>
      </w:r>
      <w:r w:rsidRPr="00D1550C">
        <w:t>comprise transactions with goods that cross the border of the country and either involve change of ownership between residents and non-residents (general merchandise, goods procured by carriers, and non-monetary gold).</w:t>
      </w:r>
    </w:p>
    <w:p w:rsidR="004817AF" w:rsidRPr="00D1550C" w:rsidRDefault="004817AF" w:rsidP="004817AF">
      <w:pPr>
        <w:spacing w:before="120"/>
        <w:jc w:val="both"/>
      </w:pPr>
      <w:r w:rsidRPr="00D1550C">
        <w:rPr>
          <w:b/>
        </w:rPr>
        <w:t xml:space="preserve">Services </w:t>
      </w:r>
      <w:r w:rsidRPr="00D1550C">
        <w:t>cover all types of services that are performed by residents for nonresidents and vice versa and are divided into following categories:</w:t>
      </w:r>
    </w:p>
    <w:p w:rsidR="004817AF" w:rsidRPr="00D1550C" w:rsidRDefault="004817AF" w:rsidP="004817AF">
      <w:pPr>
        <w:spacing w:before="120"/>
        <w:jc w:val="both"/>
      </w:pPr>
      <w:r w:rsidRPr="00D1550C">
        <w:t>- manufacturing services of physical inputs owned by others (nonresidents);</w:t>
      </w:r>
    </w:p>
    <w:p w:rsidR="004817AF" w:rsidRPr="00D1550C" w:rsidRDefault="004817AF" w:rsidP="004817AF">
      <w:pPr>
        <w:spacing w:before="120"/>
        <w:jc w:val="both"/>
      </w:pPr>
      <w:r w:rsidRPr="00D1550C">
        <w:t>- maintenance and repair services not included elsewhere;</w:t>
      </w:r>
    </w:p>
    <w:p w:rsidR="004817AF" w:rsidRPr="00D1550C" w:rsidRDefault="004817AF" w:rsidP="004817AF">
      <w:pPr>
        <w:spacing w:before="120"/>
        <w:jc w:val="both"/>
      </w:pPr>
      <w:r w:rsidRPr="00D1550C">
        <w:t>- all types of transportation services (passenger, freight and others)</w:t>
      </w:r>
    </w:p>
    <w:p w:rsidR="004817AF" w:rsidRPr="00D1550C" w:rsidRDefault="004817AF" w:rsidP="004817AF">
      <w:pPr>
        <w:spacing w:before="120"/>
        <w:jc w:val="both"/>
      </w:pPr>
      <w:r w:rsidRPr="00D1550C">
        <w:t>- travel services (expenditures of nonresident travelers for business and personal purposes during their stay in Uzbekistan and expenses of resident travelers for business and personal purposes during their stay abroad).</w:t>
      </w:r>
    </w:p>
    <w:p w:rsidR="004817AF" w:rsidRPr="00D1550C" w:rsidRDefault="004817AF" w:rsidP="004817AF">
      <w:pPr>
        <w:spacing w:before="120"/>
        <w:jc w:val="both"/>
      </w:pPr>
      <w:r w:rsidRPr="00D1550C">
        <w:t>-  services of financial intermediaries;</w:t>
      </w:r>
    </w:p>
    <w:p w:rsidR="004817AF" w:rsidRPr="00D1550C" w:rsidRDefault="004817AF" w:rsidP="004817AF">
      <w:pPr>
        <w:spacing w:before="120"/>
        <w:jc w:val="both"/>
        <w:rPr>
          <w:rFonts w:cs="Calibri"/>
        </w:rPr>
      </w:pPr>
      <w:r w:rsidRPr="00D1550C">
        <w:rPr>
          <w:rFonts w:cs="Calibri"/>
        </w:rPr>
        <w:lastRenderedPageBreak/>
        <w:t>- remaining types of services (construction; insurance services; computer and information services; other business services; personal, cultural and recreational services; government services; and services not included in other categories)</w:t>
      </w:r>
    </w:p>
    <w:p w:rsidR="004817AF" w:rsidRPr="00D1550C" w:rsidRDefault="004817AF" w:rsidP="004817AF">
      <w:pPr>
        <w:spacing w:before="120"/>
        <w:jc w:val="both"/>
      </w:pPr>
      <w:r w:rsidRPr="00D1550C">
        <w:rPr>
          <w:b/>
        </w:rPr>
        <w:t xml:space="preserve">Primary income </w:t>
      </w:r>
      <w:r w:rsidRPr="00D1550C">
        <w:t>indicates two types of flows between residents and nonresidents:</w:t>
      </w:r>
    </w:p>
    <w:p w:rsidR="004817AF" w:rsidRPr="00D1550C" w:rsidRDefault="004817AF" w:rsidP="004817AF">
      <w:pPr>
        <w:spacing w:before="120"/>
        <w:jc w:val="both"/>
      </w:pPr>
      <w:r w:rsidRPr="00D1550C">
        <w:t>- compensation of employees in the form of salaries, wages or other benefits, in cash or in kind, paid by employers to employees when the parties have a different residency status. These remunerations also include taxes paid in the host country, which are reflected in an opposite side entry in the current transfers item. Employees’ expenditures in the host country are registered in the item “Travel” of article “Services”;</w:t>
      </w:r>
    </w:p>
    <w:p w:rsidR="004817AF" w:rsidRPr="00D1550C" w:rsidRDefault="004817AF" w:rsidP="004817AF">
      <w:pPr>
        <w:spacing w:before="120"/>
        <w:jc w:val="both"/>
      </w:pPr>
      <w:r w:rsidRPr="00D1550C">
        <w:t>- investment income covers income receivable, associated with residents’ holdings of external financial assets, or payable, associated with residents’ liabilities to nonresidents. Investment income consists of direct investment income, portfolio investment income, income on other investment and on reserve assets. Investment income is subdivided into dividends, reinvested earnings, interest and investment income attributable to policy-holders in insurance, pension schemes, and standardized guarantees, and to investment fund shareholders.</w:t>
      </w:r>
    </w:p>
    <w:p w:rsidR="004817AF" w:rsidRPr="00D1550C" w:rsidRDefault="004817AF" w:rsidP="004817AF">
      <w:pPr>
        <w:spacing w:before="120"/>
        <w:jc w:val="both"/>
      </w:pPr>
      <w:r w:rsidRPr="00D1550C">
        <w:rPr>
          <w:b/>
        </w:rPr>
        <w:t xml:space="preserve">Secondary income </w:t>
      </w:r>
      <w:r w:rsidRPr="00D1550C">
        <w:t>shows current transfers between residents and non-residents. It is an offsetting entry for real resources or financial items provided without quid pro quo by one economy to another. The most common examples of current transfers are grants and humanitarian aid and technical assistance. This component also covers current international cooperation, current taxes on income, personal transfers, social benefits, and net nonlife insurance premiums.</w:t>
      </w:r>
    </w:p>
    <w:p w:rsidR="004817AF" w:rsidRPr="00D1550C" w:rsidRDefault="004817AF" w:rsidP="004817AF">
      <w:pPr>
        <w:spacing w:before="120"/>
        <w:jc w:val="both"/>
      </w:pPr>
      <w:r w:rsidRPr="00D1550C">
        <w:rPr>
          <w:b/>
        </w:rPr>
        <w:t xml:space="preserve">Capital account </w:t>
      </w:r>
      <w:r w:rsidRPr="00D1550C">
        <w:t>shows capital transfers receivable and payable between residents and nonresidents, and the acquisition and disposal of non-produced, nonfinancial assets. Transfer is considered as capital if it is intended for acquisition of fixed assets or capital construction.</w:t>
      </w:r>
    </w:p>
    <w:p w:rsidR="004817AF" w:rsidRPr="00D1550C" w:rsidRDefault="004817AF" w:rsidP="004817AF">
      <w:pPr>
        <w:spacing w:before="120"/>
        <w:jc w:val="both"/>
        <w:rPr>
          <w:b/>
        </w:rPr>
      </w:pPr>
      <w:r w:rsidRPr="00D1550C">
        <w:lastRenderedPageBreak/>
        <w:t>Non-produced nonfinancial assets include intangible assets covering contracts, leases, licenses, and marketing assets; and natural resources (generally land).</w:t>
      </w:r>
    </w:p>
    <w:p w:rsidR="004817AF" w:rsidRPr="00D1550C" w:rsidRDefault="004817AF" w:rsidP="004817AF">
      <w:pPr>
        <w:spacing w:before="120"/>
        <w:jc w:val="both"/>
        <w:rPr>
          <w:b/>
        </w:rPr>
      </w:pPr>
      <w:r w:rsidRPr="00D1550C">
        <w:rPr>
          <w:b/>
        </w:rPr>
        <w:t xml:space="preserve">Financial account </w:t>
      </w:r>
      <w:r w:rsidRPr="00D1550C">
        <w:t xml:space="preserve">assets and liabilities cover functional categories: Direct investment, portfolio investment, financial derivatives, other investments and reserve assets. </w:t>
      </w:r>
    </w:p>
    <w:p w:rsidR="004817AF" w:rsidRPr="00D1550C" w:rsidRDefault="004817AF" w:rsidP="004817AF">
      <w:pPr>
        <w:spacing w:before="120"/>
        <w:jc w:val="both"/>
      </w:pPr>
      <w:r w:rsidRPr="00D1550C">
        <w:rPr>
          <w:b/>
        </w:rPr>
        <w:t>Direct investment</w:t>
      </w:r>
      <w:r w:rsidRPr="00D1550C">
        <w:t xml:space="preserve"> is a category of international investment in which a resident entity in one economy (the direct investor) acquires a lasting interest in an entity resident in another economy (the direct investment enterprise). A direct investor in an enterprise is an investor that owns 10% or more of ordinary shares or voting power (for an incorporated enterprise) or the equivalent (for an unincorporated enterprise). The “direct investment” relationship is extended to enterprises in which goods and/or money are invested from enterprises associated with them: to capital investment between associated enterprises, branches and their head offices. Direct investment includes equity capital, reinvested earnings and other earnings. </w:t>
      </w:r>
    </w:p>
    <w:p w:rsidR="004817AF" w:rsidRPr="00D1550C" w:rsidRDefault="004817AF" w:rsidP="004817AF">
      <w:pPr>
        <w:spacing w:before="120"/>
        <w:jc w:val="both"/>
      </w:pPr>
      <w:r w:rsidRPr="00D1550C">
        <w:rPr>
          <w:b/>
        </w:rPr>
        <w:t xml:space="preserve">Portfolio investments </w:t>
      </w:r>
      <w:r w:rsidRPr="00D1550C">
        <w:t xml:space="preserve">are in the form of equity and investment fund shares and debt securities. Debt securities traded in international markets are recorded at market price. </w:t>
      </w:r>
    </w:p>
    <w:p w:rsidR="004817AF" w:rsidRPr="00D1550C" w:rsidRDefault="004817AF" w:rsidP="004817AF">
      <w:pPr>
        <w:spacing w:before="120"/>
        <w:jc w:val="both"/>
      </w:pPr>
      <w:r w:rsidRPr="00D1550C">
        <w:rPr>
          <w:b/>
        </w:rPr>
        <w:t xml:space="preserve">Financial derivatives </w:t>
      </w:r>
      <w:r w:rsidRPr="00D1550C">
        <w:t>are financial instruments that are linked to a specific financial instrument, indicator, or commodity and through which specific financial risks can be traded in financial markets in their own right. Financial derivatives comprise transactions with swaps, options, guarantees, deposits, etc., and are registered on a net basis.</w:t>
      </w:r>
    </w:p>
    <w:p w:rsidR="004817AF" w:rsidRPr="00D1550C" w:rsidRDefault="004817AF" w:rsidP="004817AF">
      <w:pPr>
        <w:spacing w:before="120"/>
        <w:jc w:val="both"/>
        <w:rPr>
          <w:b/>
        </w:rPr>
      </w:pPr>
      <w:r w:rsidRPr="00D1550C">
        <w:rPr>
          <w:b/>
        </w:rPr>
        <w:t xml:space="preserve">Other investments </w:t>
      </w:r>
      <w:r w:rsidRPr="00D1550C">
        <w:t>are primarily divided into net acquisition of financial assets and net incurrence of liabilities. Other investment covers other equity, currency and deposits, loans, insurance, pension, and standardized guarantee schemes, trade credit and advances, and other accounts receivable/payable.</w:t>
      </w:r>
    </w:p>
    <w:p w:rsidR="004817AF" w:rsidRPr="00D1550C" w:rsidRDefault="004817AF" w:rsidP="004817AF">
      <w:pPr>
        <w:spacing w:before="120"/>
        <w:jc w:val="both"/>
      </w:pPr>
      <w:r w:rsidRPr="00D1550C">
        <w:t>Other securities include investments that are not direct investments or reserve assets. Other securities are not in the form of securities; therefore, they are not included in securities.</w:t>
      </w:r>
    </w:p>
    <w:p w:rsidR="004817AF" w:rsidRPr="00D1550C" w:rsidRDefault="004817AF" w:rsidP="004817AF">
      <w:pPr>
        <w:spacing w:before="120"/>
        <w:jc w:val="both"/>
      </w:pPr>
      <w:r w:rsidRPr="00D1550C">
        <w:lastRenderedPageBreak/>
        <w:t>Currencies and deposits include all claims to the Central Bank and commercial banks, in some cases other institutional sectors, in the form of cash banknotes and coins, as well as deposits.</w:t>
      </w:r>
    </w:p>
    <w:p w:rsidR="004817AF" w:rsidRPr="00D1550C" w:rsidRDefault="004817AF" w:rsidP="004817AF">
      <w:pPr>
        <w:spacing w:before="120"/>
        <w:jc w:val="both"/>
      </w:pPr>
      <w:r w:rsidRPr="00D1550C">
        <w:t>Insurance, pension and standard guarantee programs include (a) insurance technical reserves (except life insurance), (b) rights to life insurance and annuity payments, (c) rights to receive a pension, (d) pension fund claims on companies, that manage pension funds, (e) eligibility for benefits not related to pension schemes, (e) provisions to cover standard guarantees.</w:t>
      </w:r>
    </w:p>
    <w:p w:rsidR="004817AF" w:rsidRPr="00D1550C" w:rsidRDefault="004817AF" w:rsidP="004817AF">
      <w:pPr>
        <w:spacing w:before="120"/>
        <w:jc w:val="both"/>
      </w:pPr>
      <w:r w:rsidRPr="00D1550C">
        <w:t>Trade credit and advances arise when payment for goods or services is not made at the same time as the change in ownership of a good or provision of a service. If a payment is made before the change of ownership, there is an advance.</w:t>
      </w:r>
    </w:p>
    <w:p w:rsidR="004817AF" w:rsidRPr="00D1550C" w:rsidRDefault="004817AF" w:rsidP="004817AF">
      <w:pPr>
        <w:spacing w:before="120"/>
        <w:jc w:val="both"/>
      </w:pPr>
      <w:r w:rsidRPr="00D1550C">
        <w:t>Other accounts receivable/payable includes accounts receivable or payable other than those included above.</w:t>
      </w:r>
    </w:p>
    <w:p w:rsidR="004817AF" w:rsidRPr="00D1550C" w:rsidRDefault="004817AF" w:rsidP="004817AF">
      <w:pPr>
        <w:spacing w:before="120"/>
        <w:jc w:val="both"/>
        <w:rPr>
          <w:b/>
        </w:rPr>
      </w:pPr>
      <w:r w:rsidRPr="00D1550C">
        <w:rPr>
          <w:b/>
        </w:rPr>
        <w:t xml:space="preserve">Special drawing rights (SDRs) </w:t>
      </w:r>
      <w:r w:rsidRPr="00D1550C">
        <w:t>are international reserve assets created by the IMF and allocated to members to supplement existing official reserves. SDRs are held only by the monetary authorities of IMF members and a limited number of international financial institutions.</w:t>
      </w:r>
    </w:p>
    <w:p w:rsidR="004817AF" w:rsidRPr="00D1550C" w:rsidRDefault="004817AF" w:rsidP="004817AF">
      <w:pPr>
        <w:spacing w:before="120"/>
        <w:jc w:val="both"/>
      </w:pPr>
      <w:r w:rsidRPr="00D1550C">
        <w:rPr>
          <w:b/>
        </w:rPr>
        <w:t xml:space="preserve">Reserve assets </w:t>
      </w:r>
      <w:r w:rsidRPr="00D1550C">
        <w:t>are those external assets that are readily available to and controlled by monetary authorities for meeting balance of payments financing needs, for intervention in exchange markets, and for other related purposes.</w:t>
      </w:r>
    </w:p>
    <w:p w:rsidR="004817AF" w:rsidRPr="00D1550C" w:rsidRDefault="004817AF" w:rsidP="004817AF">
      <w:pPr>
        <w:spacing w:before="120"/>
        <w:jc w:val="both"/>
        <w:rPr>
          <w:rFonts w:cs="Calibri"/>
          <w:szCs w:val="22"/>
        </w:rPr>
      </w:pPr>
      <w:r w:rsidRPr="00D1550C">
        <w:rPr>
          <w:rFonts w:cs="Calibri"/>
          <w:szCs w:val="22"/>
        </w:rPr>
        <w:t xml:space="preserve">The BOP is constructed on the basis of a </w:t>
      </w:r>
      <w:r w:rsidRPr="00D1550C">
        <w:rPr>
          <w:rFonts w:cs="Calibri"/>
          <w:b/>
          <w:szCs w:val="22"/>
        </w:rPr>
        <w:t>double entry book-keeping system</w:t>
      </w:r>
      <w:r w:rsidRPr="00D1550C">
        <w:rPr>
          <w:rFonts w:cs="Calibri"/>
          <w:szCs w:val="22"/>
        </w:rPr>
        <w:t>. Every recorded transaction is represented by two entries with equal values. One of these entries is recorded under credit; the other is recorded under debit. For example, in the case where an export operation was made, the transaction value in the BOP will be reflected as credit in “Export” and as debit in “Assets – currency and deposits”. The sum of all credit and debit entries should equal to zero. In practice, however, the accounts frequently do not balance. Data for balance of payments estimates are often obtained from different sources and, as a result, there may be a summary “net errors and omissions”.</w:t>
      </w:r>
    </w:p>
    <w:p w:rsidR="004817AF" w:rsidRPr="00D1550C" w:rsidRDefault="004817AF" w:rsidP="004817AF">
      <w:pPr>
        <w:spacing w:before="120"/>
        <w:jc w:val="both"/>
        <w:rPr>
          <w:b/>
        </w:rPr>
      </w:pPr>
      <w:r w:rsidRPr="00D1550C">
        <w:rPr>
          <w:b/>
        </w:rPr>
        <w:lastRenderedPageBreak/>
        <w:t xml:space="preserve">Credit entries </w:t>
      </w:r>
      <w:r w:rsidRPr="00D1550C">
        <w:t>are recorded for exports, primary and secondary income received and acquisition of non-produced non-financial assets.</w:t>
      </w:r>
    </w:p>
    <w:p w:rsidR="004817AF" w:rsidRPr="00D1550C" w:rsidRDefault="004817AF" w:rsidP="004817AF">
      <w:pPr>
        <w:spacing w:before="120"/>
        <w:jc w:val="both"/>
      </w:pPr>
      <w:r w:rsidRPr="00D1550C">
        <w:rPr>
          <w:b/>
        </w:rPr>
        <w:t xml:space="preserve">Debit entries </w:t>
      </w:r>
      <w:r w:rsidRPr="00D1550C">
        <w:t>are recorded for imports, primary and secondary income paid and disposal of non-produced non-financial assets.</w:t>
      </w:r>
    </w:p>
    <w:p w:rsidR="004817AF" w:rsidRPr="00D1550C" w:rsidRDefault="004817AF" w:rsidP="004817AF">
      <w:pPr>
        <w:spacing w:before="120"/>
        <w:jc w:val="both"/>
        <w:rPr>
          <w:rFonts w:ascii="Times New Roman" w:hAnsi="Times New Roman"/>
          <w:sz w:val="22"/>
          <w:szCs w:val="22"/>
        </w:rPr>
      </w:pPr>
      <w:r w:rsidRPr="00D1550C">
        <w:rPr>
          <w:rFonts w:cs="Calibri"/>
          <w:szCs w:val="22"/>
        </w:rPr>
        <w:t xml:space="preserve">The international accounts follow </w:t>
      </w:r>
      <w:r w:rsidRPr="00D1550C">
        <w:rPr>
          <w:rFonts w:cs="Calibri"/>
          <w:b/>
          <w:szCs w:val="22"/>
        </w:rPr>
        <w:t>net recording in the financial account</w:t>
      </w:r>
      <w:r w:rsidRPr="00D1550C">
        <w:rPr>
          <w:rFonts w:cs="Calibri"/>
          <w:szCs w:val="22"/>
        </w:rPr>
        <w:t>. Net recording, means aggregations or combinations that show net changes (increases less reductions) in a particular financial asset or a liability category on the same side of the balance sheet. Transactions on financial assets and liabilities are shown under “Net acquisition of financial assets” and “Net incurrence of liabilities”. Net acquisition of assets equals increase of the asset less decrease of the same asset. Transaction with positive sign means increase, while negative sign – decrease. Calculation of net acquisition of financial liabilities are in the same way as assets are calculated</w:t>
      </w:r>
      <w:r w:rsidRPr="00D1550C">
        <w:rPr>
          <w:rFonts w:ascii="Times New Roman" w:hAnsi="Times New Roman"/>
          <w:sz w:val="22"/>
          <w:szCs w:val="22"/>
        </w:rPr>
        <w:t>.</w:t>
      </w:r>
    </w:p>
    <w:p w:rsidR="004817AF" w:rsidRPr="00D1550C" w:rsidRDefault="004817AF" w:rsidP="004817AF">
      <w:pPr>
        <w:spacing w:before="120"/>
        <w:jc w:val="both"/>
        <w:rPr>
          <w:rFonts w:cs="Calibri"/>
          <w:szCs w:val="22"/>
        </w:rPr>
      </w:pPr>
      <w:r w:rsidRPr="00D1550C">
        <w:rPr>
          <w:rFonts w:cs="Calibri"/>
          <w:b/>
          <w:szCs w:val="22"/>
        </w:rPr>
        <w:t>Market prices</w:t>
      </w:r>
      <w:r w:rsidRPr="00D1550C">
        <w:rPr>
          <w:rFonts w:cs="Calibri"/>
          <w:szCs w:val="22"/>
        </w:rPr>
        <w:t xml:space="preserve"> are the basis for valuation in the international accounts. Market prices for transactions are defined as amounts of money that buyers are willing to pay for acquiring something from sellers who, in his/her turn, has willing to sell. The exchanges are made between independent parties and on the basis of commercial considerations only.</w:t>
      </w:r>
    </w:p>
    <w:p w:rsidR="004817AF" w:rsidRPr="00D1550C" w:rsidRDefault="004817AF" w:rsidP="004817AF">
      <w:pPr>
        <w:spacing w:before="120"/>
        <w:jc w:val="both"/>
        <w:rPr>
          <w:rFonts w:cs="Calibri"/>
          <w:szCs w:val="22"/>
        </w:rPr>
      </w:pPr>
      <w:r w:rsidRPr="00D1550C">
        <w:rPr>
          <w:rFonts w:cs="Calibri"/>
          <w:b/>
          <w:szCs w:val="22"/>
        </w:rPr>
        <w:t>Time of transaction recording</w:t>
      </w:r>
      <w:r w:rsidRPr="00D1550C">
        <w:rPr>
          <w:rFonts w:cs="Calibri"/>
          <w:szCs w:val="22"/>
        </w:rPr>
        <w:t xml:space="preserve"> is real time or estimated time when ownership change occurred. This is the time when transaction was recorded in financial reports.</w:t>
      </w:r>
    </w:p>
    <w:p w:rsidR="004817AF" w:rsidRPr="00D1550C" w:rsidRDefault="004817AF" w:rsidP="004817AF">
      <w:pPr>
        <w:spacing w:before="120"/>
        <w:jc w:val="both"/>
        <w:rPr>
          <w:rFonts w:cs="Calibri"/>
          <w:b/>
          <w:szCs w:val="22"/>
        </w:rPr>
      </w:pPr>
    </w:p>
    <w:p w:rsidR="004817AF" w:rsidRPr="00D1550C" w:rsidRDefault="004817AF" w:rsidP="004817AF">
      <w:pPr>
        <w:spacing w:before="120"/>
        <w:jc w:val="both"/>
        <w:rPr>
          <w:rFonts w:cs="Calibri"/>
          <w:b/>
          <w:szCs w:val="22"/>
        </w:rPr>
      </w:pPr>
    </w:p>
    <w:p w:rsidR="004817AF" w:rsidRPr="00D1550C" w:rsidRDefault="004817AF" w:rsidP="004817AF">
      <w:pPr>
        <w:spacing w:before="120"/>
        <w:jc w:val="both"/>
        <w:rPr>
          <w:rFonts w:cs="Calibri"/>
          <w:b/>
          <w:szCs w:val="22"/>
        </w:rPr>
      </w:pPr>
      <w:r w:rsidRPr="00D1550C">
        <w:rPr>
          <w:rFonts w:cs="Calibri"/>
          <w:b/>
          <w:szCs w:val="22"/>
        </w:rPr>
        <w:t>Standard and analytical presentation of BOP</w:t>
      </w:r>
    </w:p>
    <w:p w:rsidR="004817AF" w:rsidRPr="00D1550C" w:rsidRDefault="004817AF" w:rsidP="004817AF">
      <w:pPr>
        <w:spacing w:before="120"/>
        <w:jc w:val="both"/>
        <w:rPr>
          <w:rFonts w:cs="Calibri"/>
          <w:szCs w:val="22"/>
        </w:rPr>
      </w:pPr>
      <w:r w:rsidRPr="00D1550C">
        <w:rPr>
          <w:rFonts w:cs="Calibri"/>
          <w:szCs w:val="22"/>
        </w:rPr>
        <w:t>Standard presentation - BOP items are grouped corresponding to national accounts and other macroeconomic statistics standard classifications.</w:t>
      </w:r>
    </w:p>
    <w:p w:rsidR="004817AF" w:rsidRPr="00D1550C" w:rsidRDefault="004817AF" w:rsidP="004817AF">
      <w:pPr>
        <w:spacing w:before="120"/>
        <w:jc w:val="both"/>
        <w:rPr>
          <w:rFonts w:ascii="Times New Roman" w:hAnsi="Times New Roman"/>
          <w:sz w:val="22"/>
          <w:szCs w:val="22"/>
        </w:rPr>
      </w:pPr>
      <w:r w:rsidRPr="00D1550C">
        <w:rPr>
          <w:rFonts w:cs="Calibri"/>
          <w:szCs w:val="22"/>
        </w:rPr>
        <w:t>Analytical presentation denotes reorganization of standard BOP items in a way where international transactions balance is financed with international reserves, IMF or other international donor credits or other exceptional financing items</w:t>
      </w:r>
      <w:r w:rsidR="00470F0E" w:rsidRPr="00D1550C">
        <w:rPr>
          <w:rFonts w:cs="Calibri"/>
          <w:szCs w:val="22"/>
        </w:rPr>
        <w:t>.</w:t>
      </w:r>
    </w:p>
    <w:p w:rsidR="004817AF" w:rsidRPr="00D1550C" w:rsidRDefault="004817AF" w:rsidP="004817AF">
      <w:pPr>
        <w:spacing w:before="120"/>
        <w:jc w:val="both"/>
        <w:rPr>
          <w:b/>
        </w:rPr>
      </w:pPr>
      <w:r w:rsidRPr="00D1550C">
        <w:rPr>
          <w:b/>
        </w:rPr>
        <w:lastRenderedPageBreak/>
        <w:t>1.2. Sources of data and commentary on the compilation of components.</w:t>
      </w:r>
    </w:p>
    <w:p w:rsidR="004817AF" w:rsidRPr="00D1550C" w:rsidRDefault="004817AF" w:rsidP="004817AF">
      <w:pPr>
        <w:spacing w:before="120"/>
        <w:jc w:val="both"/>
      </w:pPr>
      <w:r w:rsidRPr="00D1550C">
        <w:t>The main sources of information for compiling balance of payments data are the State Customs Committee, State Statistics Committee, enterprises and operators’ data on production sharing agreements (PSA), State Border Protection Committee, State Personalization Center, Central Bank, Ministry of Finance, Ministry of Foreign Affairs, and other organizations.</w:t>
      </w:r>
    </w:p>
    <w:p w:rsidR="004817AF" w:rsidRPr="00D1550C" w:rsidRDefault="004817AF" w:rsidP="004817AF">
      <w:pPr>
        <w:spacing w:before="120"/>
        <w:jc w:val="both"/>
      </w:pPr>
      <w:r w:rsidRPr="00D1550C">
        <w:t>Along with the reports received, some changes are made to improve the quality of the data and ensure their compliance with the methodology.</w:t>
      </w:r>
    </w:p>
    <w:p w:rsidR="004817AF" w:rsidRPr="00D1550C" w:rsidRDefault="004817AF" w:rsidP="004817AF">
      <w:pPr>
        <w:spacing w:before="120"/>
        <w:jc w:val="both"/>
        <w:rPr>
          <w:rFonts w:cs="Calibri"/>
          <w:b/>
        </w:rPr>
      </w:pPr>
      <w:r w:rsidRPr="00D1550C">
        <w:rPr>
          <w:rFonts w:cs="Calibri"/>
          <w:b/>
        </w:rPr>
        <w:t>Data on imports/exports of goods</w:t>
      </w:r>
    </w:p>
    <w:p w:rsidR="004817AF" w:rsidRPr="00D1550C" w:rsidRDefault="004817AF" w:rsidP="004817AF">
      <w:pPr>
        <w:spacing w:before="120"/>
        <w:jc w:val="both"/>
        <w:rPr>
          <w:rFonts w:cs="Calibri"/>
        </w:rPr>
      </w:pPr>
      <w:r w:rsidRPr="00D1550C">
        <w:rPr>
          <w:rFonts w:cs="Calibri"/>
        </w:rPr>
        <w:t>Export and import data are reflected in FOB prices in the balance of payments. Data on the import and export of goods are obtained from the State Customs Committee. CIF prices of imported goods are adjusted based on the coefficients calculated by weight, taking into account the mode of transport at the border and the region of shipment of goods.</w:t>
      </w:r>
    </w:p>
    <w:p w:rsidR="004817AF" w:rsidRPr="00D1550C" w:rsidRDefault="004817AF" w:rsidP="004817AF">
      <w:pPr>
        <w:spacing w:before="120"/>
        <w:jc w:val="both"/>
        <w:rPr>
          <w:rFonts w:cs="Calibri"/>
        </w:rPr>
      </w:pPr>
      <w:r w:rsidRPr="00D1550C">
        <w:rPr>
          <w:rFonts w:cs="Calibri"/>
        </w:rPr>
        <w:t>Official data received from the State Customs Committee are supplemented with data on gold exports and are adjusted based on estimates of the Central Bank regarding shuttle exports and imports, as well as additional data obtained and identified statistical discrepancies in mirror statistics for the main trading partners.</w:t>
      </w:r>
    </w:p>
    <w:p w:rsidR="004817AF" w:rsidRPr="00D1550C" w:rsidRDefault="004817AF" w:rsidP="004817AF">
      <w:pPr>
        <w:spacing w:before="120"/>
        <w:jc w:val="both"/>
        <w:rPr>
          <w:rFonts w:cs="Calibri"/>
        </w:rPr>
      </w:pPr>
      <w:r w:rsidRPr="00D1550C">
        <w:rPr>
          <w:rFonts w:cs="Calibri"/>
        </w:rPr>
        <w:t>Estimation of the value of goods imported/exported by individuals for subsequent resale is calculated as the product of the number of "shuttles" and the average value of the goods imported and exported by them. The average value has been derived on the basis of a quarterly survey conducted at border posts and airports in all regions of the country.</w:t>
      </w:r>
    </w:p>
    <w:p w:rsidR="004817AF" w:rsidRPr="00D1550C" w:rsidRDefault="004817AF" w:rsidP="004817AF">
      <w:pPr>
        <w:spacing w:before="120"/>
        <w:jc w:val="both"/>
        <w:rPr>
          <w:rFonts w:cs="Calibri"/>
          <w:b/>
        </w:rPr>
      </w:pPr>
      <w:r w:rsidRPr="00D1550C">
        <w:rPr>
          <w:rFonts w:cs="Calibri"/>
          <w:b/>
        </w:rPr>
        <w:t>International services</w:t>
      </w:r>
    </w:p>
    <w:p w:rsidR="004817AF" w:rsidRPr="00D1550C" w:rsidRDefault="004817AF" w:rsidP="004817AF">
      <w:pPr>
        <w:spacing w:before="120"/>
        <w:jc w:val="both"/>
        <w:rPr>
          <w:rFonts w:cs="Calibri"/>
        </w:rPr>
      </w:pPr>
      <w:r w:rsidRPr="00D1550C">
        <w:rPr>
          <w:rFonts w:cs="Calibri"/>
        </w:rPr>
        <w:t>Initial data for the exports and imports of transport services are obtained from the State Committee on Statistics. Additional data are obtained and calculations are made for the most significant and missing components. In particular:</w:t>
      </w:r>
    </w:p>
    <w:p w:rsidR="00470F0E" w:rsidRPr="00D1550C" w:rsidRDefault="00470F0E" w:rsidP="004817AF">
      <w:pPr>
        <w:spacing w:before="120"/>
        <w:jc w:val="both"/>
        <w:rPr>
          <w:rFonts w:cs="Calibri"/>
          <w:b/>
          <w:i/>
          <w:szCs w:val="22"/>
        </w:rPr>
      </w:pPr>
    </w:p>
    <w:p w:rsidR="004817AF" w:rsidRPr="00D1550C" w:rsidRDefault="004817AF" w:rsidP="004817AF">
      <w:pPr>
        <w:spacing w:before="120"/>
        <w:jc w:val="both"/>
        <w:rPr>
          <w:rFonts w:cs="Calibri"/>
          <w:b/>
          <w:i/>
          <w:szCs w:val="22"/>
        </w:rPr>
      </w:pPr>
      <w:r w:rsidRPr="00D1550C">
        <w:rPr>
          <w:rFonts w:cs="Calibri"/>
          <w:b/>
          <w:i/>
          <w:szCs w:val="22"/>
        </w:rPr>
        <w:lastRenderedPageBreak/>
        <w:t>For transport services</w:t>
      </w:r>
    </w:p>
    <w:p w:rsidR="004817AF" w:rsidRPr="00D1550C" w:rsidRDefault="004817AF" w:rsidP="004817AF">
      <w:pPr>
        <w:spacing w:before="120"/>
        <w:jc w:val="both"/>
        <w:rPr>
          <w:rFonts w:cs="Calibri"/>
          <w:szCs w:val="22"/>
        </w:rPr>
      </w:pPr>
      <w:r w:rsidRPr="00D1550C">
        <w:rPr>
          <w:rFonts w:cs="Calibri"/>
          <w:szCs w:val="22"/>
        </w:rPr>
        <w:t>- estimations are made on the amount of imported air, rail and road transport services. For example, the import of air transport is calculated by multiplying the number of persons who entered and left the country by air, minus the number of citizens of Uzbekistan transported by the national carrier, to the average price of a ticket to the main countries of departure of citizens of Uzbekistan;</w:t>
      </w:r>
    </w:p>
    <w:p w:rsidR="004817AF" w:rsidRPr="00D1550C" w:rsidRDefault="004817AF" w:rsidP="004817AF">
      <w:pPr>
        <w:spacing w:before="120"/>
        <w:jc w:val="both"/>
        <w:rPr>
          <w:rFonts w:cs="Calibri"/>
          <w:szCs w:val="22"/>
        </w:rPr>
      </w:pPr>
      <w:r w:rsidRPr="00D1550C">
        <w:rPr>
          <w:rFonts w:cs="Calibri"/>
          <w:szCs w:val="22"/>
        </w:rPr>
        <w:t>- information on the amount of air transport exports is received from national air carrier, including the goods sold to foreign ships at airports in Uzbekistan and purchased by ships of Uzbekistan at foreign airports;</w:t>
      </w:r>
    </w:p>
    <w:p w:rsidR="004817AF" w:rsidRPr="00D1550C" w:rsidRDefault="004817AF" w:rsidP="004817AF">
      <w:pPr>
        <w:spacing w:before="120"/>
        <w:jc w:val="both"/>
        <w:rPr>
          <w:rFonts w:ascii="Times New Roman" w:hAnsi="Times New Roman"/>
          <w:sz w:val="22"/>
          <w:szCs w:val="22"/>
        </w:rPr>
      </w:pPr>
      <w:r w:rsidRPr="00D1550C">
        <w:t>- </w:t>
      </w:r>
      <w:r w:rsidRPr="00D1550C">
        <w:rPr>
          <w:rFonts w:cs="Calibri"/>
          <w:szCs w:val="22"/>
        </w:rPr>
        <w:t>information on the amount and value of goods transported for non-residents is obtained from Uzbekistan Railways;</w:t>
      </w:r>
    </w:p>
    <w:p w:rsidR="004817AF" w:rsidRPr="00D1550C" w:rsidRDefault="004817AF" w:rsidP="004817AF">
      <w:pPr>
        <w:spacing w:before="120"/>
        <w:jc w:val="both"/>
      </w:pPr>
      <w:r w:rsidRPr="00D1550C">
        <w:t>- CIF-FOB corrections are added separately to the amount of imports for each mode of transport based on their share in total volume of imports.</w:t>
      </w:r>
    </w:p>
    <w:p w:rsidR="004817AF" w:rsidRPr="00D1550C" w:rsidRDefault="004817AF" w:rsidP="004817AF">
      <w:pPr>
        <w:spacing w:before="120"/>
        <w:jc w:val="both"/>
        <w:rPr>
          <w:rFonts w:ascii="Times New Roman" w:hAnsi="Times New Roman"/>
          <w:b/>
          <w:i/>
          <w:sz w:val="22"/>
          <w:szCs w:val="22"/>
        </w:rPr>
      </w:pPr>
      <w:r w:rsidRPr="00D1550C">
        <w:rPr>
          <w:rFonts w:cs="Calibri"/>
          <w:b/>
          <w:i/>
          <w:szCs w:val="22"/>
        </w:rPr>
        <w:t>For travel services</w:t>
      </w:r>
      <w:r w:rsidRPr="00D1550C">
        <w:rPr>
          <w:rFonts w:ascii="Times New Roman" w:hAnsi="Times New Roman"/>
          <w:b/>
          <w:i/>
          <w:sz w:val="22"/>
          <w:szCs w:val="22"/>
        </w:rPr>
        <w:t>:</w:t>
      </w:r>
    </w:p>
    <w:p w:rsidR="004817AF" w:rsidRPr="00D1550C" w:rsidRDefault="004817AF" w:rsidP="004817AF">
      <w:pPr>
        <w:spacing w:before="120"/>
        <w:jc w:val="both"/>
      </w:pPr>
      <w:r w:rsidRPr="00D1550C">
        <w:t>- expenses of short-term workers during their stay abroad are added to the data of the State statistics committee on debit and credit of business travels;</w:t>
      </w:r>
    </w:p>
    <w:p w:rsidR="004817AF" w:rsidRPr="00D1550C" w:rsidRDefault="004817AF" w:rsidP="004817AF">
      <w:pPr>
        <w:spacing w:before="120"/>
        <w:jc w:val="both"/>
      </w:pPr>
      <w:r w:rsidRPr="00D1550C">
        <w:t>- the amount of exports and imports of personal travel services (tourism) are calculated based on data from the border service and the results of a survey on tourist statistics conducted by the State Statistics Committee in May 2018. Since the coefficients generated by the results of the tourist survey of residents also include the amount of transport expenses, they are deducted from the debit of travel services in order to avoid double counting.</w:t>
      </w:r>
    </w:p>
    <w:p w:rsidR="004817AF" w:rsidRPr="00D1550C" w:rsidRDefault="004817AF" w:rsidP="004817AF">
      <w:pPr>
        <w:spacing w:before="120"/>
        <w:jc w:val="both"/>
        <w:rPr>
          <w:b/>
          <w:i/>
        </w:rPr>
      </w:pPr>
      <w:r w:rsidRPr="00D1550C">
        <w:rPr>
          <w:b/>
          <w:i/>
        </w:rPr>
        <w:t>For other services:</w:t>
      </w:r>
    </w:p>
    <w:p w:rsidR="004817AF" w:rsidRPr="00D1550C" w:rsidRDefault="004817AF" w:rsidP="004817AF">
      <w:pPr>
        <w:spacing w:before="120"/>
        <w:jc w:val="both"/>
      </w:pPr>
      <w:r w:rsidRPr="00D1550C">
        <w:t>- to reflect information on public services not included elsewhere, information obtained from the Ministry of Foreign Affairs is used;</w:t>
      </w:r>
    </w:p>
    <w:p w:rsidR="004817AF" w:rsidRPr="00D1550C" w:rsidRDefault="004817AF" w:rsidP="004817AF">
      <w:pPr>
        <w:spacing w:before="120"/>
        <w:jc w:val="both"/>
      </w:pPr>
      <w:r w:rsidRPr="00D1550C">
        <w:t xml:space="preserve">- to reflect insurance services, data are obtained from insurance companies and adjustments are made if discrepancies are identified. In addition, the cost of the cargo insurance service, obtained </w:t>
      </w:r>
      <w:r w:rsidRPr="00D1550C">
        <w:lastRenderedPageBreak/>
        <w:t>while calculating the CIF-FOB adjustment, is included in insurance services.</w:t>
      </w:r>
    </w:p>
    <w:p w:rsidR="004817AF" w:rsidRPr="00D1550C" w:rsidRDefault="004817AF" w:rsidP="004817AF">
      <w:pPr>
        <w:spacing w:before="120"/>
        <w:jc w:val="both"/>
        <w:rPr>
          <w:b/>
        </w:rPr>
      </w:pPr>
      <w:r w:rsidRPr="00D1550C">
        <w:rPr>
          <w:b/>
        </w:rPr>
        <w:t>Primary income</w:t>
      </w:r>
    </w:p>
    <w:p w:rsidR="004817AF" w:rsidRPr="00D1550C" w:rsidRDefault="004817AF" w:rsidP="004817AF">
      <w:pPr>
        <w:spacing w:before="120"/>
        <w:jc w:val="both"/>
      </w:pPr>
      <w:r w:rsidRPr="00D1550C">
        <w:t>- calculation of primary income is carried out on the basis of the cross-border money remittances data, generated by the Central Bank and cash imports of foreign currencies, formed by the State Customs Committee until 2018. The data are complemented by an estimate of the income of residents working at embassies and international institutions in the territory of the Republic of Uzbekistan.</w:t>
      </w:r>
    </w:p>
    <w:p w:rsidR="004817AF" w:rsidRPr="00D1550C" w:rsidRDefault="004817AF" w:rsidP="004817AF">
      <w:pPr>
        <w:spacing w:before="120"/>
        <w:jc w:val="both"/>
      </w:pPr>
      <w:r w:rsidRPr="00D1550C">
        <w:t xml:space="preserve">Calculation of wages of short-term workers is carried out in the methodology recommended by the IMF expert during the technical assistance mission. At the same time, the number of citizens of Uzbekistan who went abroad to work during the reporting and previous three quarters are multiplied to decreasing coefficients in order to determine the quantity of short-term workers in the calculations. The estimated number of short-term workers is multiplied by the average amount of their income to determine the total amount of their earnings. This approach also enables the determination of their travel expenses and mandatory payments in the form of taxes and patent fees. </w:t>
      </w:r>
    </w:p>
    <w:p w:rsidR="004817AF" w:rsidRPr="00D1550C" w:rsidRDefault="004817AF" w:rsidP="004817AF">
      <w:pPr>
        <w:spacing w:before="120"/>
        <w:jc w:val="both"/>
      </w:pPr>
      <w:r w:rsidRPr="00D1550C">
        <w:t>- investment income is calculated on the basis of data from the Central Bank, commercial banks, the Ministry of Finance and enterprises operating on the basis of the PSA. Wherein, commercial banks provide data on accrued interest on unsecured private debt, while the Ministry of Finance presents data on accrued interest on loans attracted by the government or under its guarantee.</w:t>
      </w:r>
    </w:p>
    <w:p w:rsidR="004817AF" w:rsidRPr="00D1550C" w:rsidRDefault="004817AF" w:rsidP="004817AF">
      <w:pPr>
        <w:spacing w:before="120"/>
        <w:jc w:val="both"/>
        <w:rPr>
          <w:b/>
        </w:rPr>
      </w:pPr>
      <w:r w:rsidRPr="00D1550C">
        <w:rPr>
          <w:b/>
        </w:rPr>
        <w:t>Secondary income</w:t>
      </w:r>
    </w:p>
    <w:p w:rsidR="004817AF" w:rsidRPr="00D1550C" w:rsidRDefault="004817AF" w:rsidP="004817AF">
      <w:pPr>
        <w:spacing w:before="120"/>
        <w:jc w:val="both"/>
      </w:pPr>
      <w:r w:rsidRPr="00D1550C">
        <w:t>- personal transfers are calculated on the basis of cross-border money remittances data, generated by the Central Bank and cash imports of foreign currencies, formed by the State Customs Committee until 2018. The net earnings of short-term workers are deducted from the total amount of remittances into the country and the cash import of foreign currency by the citizens of Uzbekistan and the balance is indicated as a transfer;</w:t>
      </w:r>
    </w:p>
    <w:p w:rsidR="004817AF" w:rsidRPr="00D1550C" w:rsidRDefault="004817AF" w:rsidP="004817AF">
      <w:pPr>
        <w:spacing w:before="120"/>
        <w:jc w:val="both"/>
      </w:pPr>
      <w:r w:rsidRPr="00D1550C">
        <w:lastRenderedPageBreak/>
        <w:t>- data on grants in monetary form are presented by commercial banks, while humanitarian assistance received in the form of goods is obtained from the database of the State Customs Committee;</w:t>
      </w:r>
    </w:p>
    <w:p w:rsidR="004817AF" w:rsidRPr="00D1550C" w:rsidRDefault="004817AF" w:rsidP="004817AF">
      <w:pPr>
        <w:spacing w:before="120"/>
        <w:jc w:val="both"/>
      </w:pPr>
      <w:r w:rsidRPr="00D1550C">
        <w:t>- the Ministry of Finance provides information on the contributions of the Republic of Uzbekistan to international organizations.</w:t>
      </w:r>
    </w:p>
    <w:p w:rsidR="004817AF" w:rsidRPr="00D1550C" w:rsidRDefault="004817AF" w:rsidP="004817AF">
      <w:pPr>
        <w:spacing w:before="120"/>
        <w:jc w:val="both"/>
        <w:rPr>
          <w:b/>
        </w:rPr>
      </w:pPr>
      <w:r w:rsidRPr="00D1550C">
        <w:rPr>
          <w:b/>
        </w:rPr>
        <w:t>Capital account</w:t>
      </w:r>
    </w:p>
    <w:p w:rsidR="004817AF" w:rsidRPr="00D1550C" w:rsidRDefault="004817AF" w:rsidP="004817AF">
      <w:pPr>
        <w:spacing w:before="120"/>
        <w:jc w:val="both"/>
      </w:pPr>
      <w:r w:rsidRPr="00D1550C">
        <w:t>- information on capital transfers is compiled on the basis of data obtained from commercial banks and other sources of data.</w:t>
      </w:r>
    </w:p>
    <w:p w:rsidR="004817AF" w:rsidRPr="00D1550C" w:rsidRDefault="004817AF" w:rsidP="004817AF">
      <w:pPr>
        <w:spacing w:before="120"/>
        <w:jc w:val="both"/>
        <w:rPr>
          <w:b/>
        </w:rPr>
      </w:pPr>
      <w:r w:rsidRPr="00D1550C">
        <w:rPr>
          <w:b/>
        </w:rPr>
        <w:t>Financial account</w:t>
      </w:r>
    </w:p>
    <w:p w:rsidR="004817AF" w:rsidRPr="00D1550C" w:rsidRDefault="004817AF" w:rsidP="004817AF">
      <w:pPr>
        <w:spacing w:before="120"/>
        <w:jc w:val="both"/>
        <w:rPr>
          <w:i/>
        </w:rPr>
      </w:pPr>
      <w:r w:rsidRPr="00D1550C">
        <w:rPr>
          <w:i/>
        </w:rPr>
        <w:t>Direct investment</w:t>
      </w:r>
    </w:p>
    <w:p w:rsidR="004817AF" w:rsidRPr="00D1550C" w:rsidRDefault="004817AF" w:rsidP="004817AF">
      <w:pPr>
        <w:spacing w:before="120"/>
        <w:jc w:val="both"/>
      </w:pPr>
      <w:r w:rsidRPr="00D1550C">
        <w:t>- data on direct investment are generated by using the results of a survey conducted by the State Statistics Committee. The form of the survey is based on the reporting forms recommended by the International Monetary Fund. Additionally, enterprises operating on the basis of PSA provide data on investments made. Furthermore, information on direct investment in commercial banks and other non-bank financial institutions is received from commercial banks and other non-bank financial institutions. Data on intercompany loans from related companies are submitted by commercial banks;</w:t>
      </w:r>
    </w:p>
    <w:p w:rsidR="004817AF" w:rsidRPr="00D1550C" w:rsidRDefault="004817AF" w:rsidP="004817AF">
      <w:pPr>
        <w:spacing w:before="120"/>
        <w:jc w:val="both"/>
      </w:pPr>
      <w:r w:rsidRPr="00D1550C">
        <w:t>- direct investments of enterprises of Uzbekistan abroad are insignificant. Moreover, the determination of their real volume from administrative data is not feasible.</w:t>
      </w:r>
    </w:p>
    <w:p w:rsidR="004817AF" w:rsidRPr="00D1550C" w:rsidRDefault="004817AF" w:rsidP="004817AF">
      <w:pPr>
        <w:spacing w:before="120"/>
        <w:jc w:val="both"/>
        <w:rPr>
          <w:i/>
        </w:rPr>
      </w:pPr>
      <w:r w:rsidRPr="00D1550C">
        <w:rPr>
          <w:i/>
        </w:rPr>
        <w:t>Portfolio investment</w:t>
      </w:r>
    </w:p>
    <w:p w:rsidR="004817AF" w:rsidRPr="00D1550C" w:rsidRDefault="004817AF" w:rsidP="004817AF">
      <w:pPr>
        <w:spacing w:before="120"/>
        <w:jc w:val="both"/>
        <w:rPr>
          <w:i/>
        </w:rPr>
      </w:pPr>
      <w:r w:rsidRPr="00D1550C">
        <w:t>- data on portfolio investments are generated by using the results of a survey conducted by the State Statistics Committee. The form of the survey is based on the reporting forms recommended by the International Monetary Fund. Information on portfolio investment in commercial banks and other non-bank financial institutions is received from commercial banks and other non-bank financial institutions</w:t>
      </w:r>
      <w:r w:rsidRPr="00D1550C">
        <w:rPr>
          <w:i/>
        </w:rPr>
        <w:t xml:space="preserve">. </w:t>
      </w:r>
      <w:r w:rsidRPr="00D1550C">
        <w:t>Data on market prices of traded securities are derived from Bloomberg.</w:t>
      </w:r>
    </w:p>
    <w:p w:rsidR="004817AF" w:rsidRPr="00D1550C" w:rsidRDefault="004817AF" w:rsidP="004817AF">
      <w:pPr>
        <w:spacing w:before="120"/>
        <w:jc w:val="both"/>
        <w:rPr>
          <w:i/>
        </w:rPr>
      </w:pPr>
    </w:p>
    <w:p w:rsidR="00470F0E" w:rsidRPr="00D1550C" w:rsidRDefault="00470F0E" w:rsidP="004817AF">
      <w:pPr>
        <w:spacing w:before="120"/>
        <w:jc w:val="both"/>
        <w:rPr>
          <w:i/>
        </w:rPr>
      </w:pPr>
    </w:p>
    <w:p w:rsidR="004817AF" w:rsidRPr="00D1550C" w:rsidRDefault="004817AF" w:rsidP="004817AF">
      <w:pPr>
        <w:spacing w:before="120"/>
        <w:jc w:val="both"/>
        <w:rPr>
          <w:i/>
        </w:rPr>
      </w:pPr>
      <w:r w:rsidRPr="00D1550C">
        <w:rPr>
          <w:i/>
        </w:rPr>
        <w:lastRenderedPageBreak/>
        <w:t xml:space="preserve">Other investment </w:t>
      </w:r>
    </w:p>
    <w:p w:rsidR="004817AF" w:rsidRPr="00D1550C" w:rsidRDefault="004817AF" w:rsidP="004817AF">
      <w:pPr>
        <w:spacing w:before="120"/>
        <w:jc w:val="both"/>
      </w:pPr>
      <w:r w:rsidRPr="00D1550C">
        <w:t xml:space="preserve">- data on external loans and balances of correspondent accounts are formed on the basis of data of the Central Bank, the Ministry of Finance and commercial banks; </w:t>
      </w:r>
    </w:p>
    <w:p w:rsidR="004817AF" w:rsidRPr="00D1550C" w:rsidRDefault="004817AF" w:rsidP="004817AF">
      <w:pPr>
        <w:spacing w:before="120"/>
        <w:jc w:val="both"/>
      </w:pPr>
      <w:r w:rsidRPr="00D1550C">
        <w:t>- trade credits and advances are calculated on the basis of data received from commercial banks.</w:t>
      </w:r>
    </w:p>
    <w:p w:rsidR="004817AF" w:rsidRPr="00D1550C" w:rsidRDefault="004817AF" w:rsidP="004817AF">
      <w:pPr>
        <w:spacing w:before="120"/>
        <w:ind w:right="566"/>
        <w:rPr>
          <w:b/>
        </w:rPr>
      </w:pPr>
      <w:r w:rsidRPr="00D1550C">
        <w:rPr>
          <w:b/>
        </w:rPr>
        <w:t>Reserve assets</w:t>
      </w:r>
    </w:p>
    <w:p w:rsidR="004817AF" w:rsidRPr="00D1550C" w:rsidRDefault="004817AF" w:rsidP="004817AF">
      <w:pPr>
        <w:spacing w:before="120"/>
        <w:ind w:right="566"/>
        <w:rPr>
          <w:b/>
        </w:rPr>
      </w:pPr>
      <w:r w:rsidRPr="00D1550C">
        <w:t>- source of information on reserve assets is the Central Bank.</w:t>
      </w:r>
    </w:p>
    <w:p w:rsidR="004817AF" w:rsidRPr="00D1550C" w:rsidRDefault="004817AF" w:rsidP="004817AF">
      <w:pPr>
        <w:spacing w:before="120"/>
        <w:jc w:val="both"/>
        <w:rPr>
          <w:b/>
        </w:rPr>
      </w:pPr>
      <w:r w:rsidRPr="00D1550C">
        <w:rPr>
          <w:b/>
        </w:rPr>
        <w:t>1.3. Methodological standards of international investment position</w:t>
      </w:r>
    </w:p>
    <w:p w:rsidR="004817AF" w:rsidRPr="00D1550C" w:rsidRDefault="004817AF" w:rsidP="004817AF">
      <w:pPr>
        <w:spacing w:before="120"/>
        <w:jc w:val="both"/>
      </w:pPr>
      <w:r w:rsidRPr="00D1550C">
        <w:t>International Investment Position (IIP) of the Republic of Uzbekistan is compiled in accordance with the sixth edition of the Balance of Payments and International Investment Position Manual (BPM6, IMF,2009).</w:t>
      </w:r>
    </w:p>
    <w:p w:rsidR="004817AF" w:rsidRPr="00D1550C" w:rsidRDefault="004817AF" w:rsidP="004817AF">
      <w:pPr>
        <w:spacing w:before="120"/>
        <w:jc w:val="both"/>
      </w:pPr>
      <w:r w:rsidRPr="00D1550C">
        <w:t>The IIP shows the balance of the country's external financial assets and liabilities for a certain period of time. The IIP includes the full range of claims and obligations to non-residents from different institutional sectors: the Central Bank, depository corporations other than the Central Bank, the Government, and other sectors. The main articles of this report are identical to the articles of the financial account: direct investment, portfolio investment, financial derivatives, other investments and reserve assets.</w:t>
      </w:r>
    </w:p>
    <w:p w:rsidR="004817AF" w:rsidRPr="00D1550C" w:rsidRDefault="004817AF" w:rsidP="004817AF">
      <w:pPr>
        <w:spacing w:before="120"/>
        <w:jc w:val="both"/>
      </w:pPr>
      <w:r w:rsidRPr="00D1550C">
        <w:t>The difference between financial assets and liabilities of the economy is a net investment position. Thus, a sector in the IIP can either be a “net lender” or a “net borrower”.</w:t>
      </w:r>
    </w:p>
    <w:p w:rsidR="004817AF" w:rsidRPr="00D1550C" w:rsidRDefault="004817AF" w:rsidP="004817AF">
      <w:pPr>
        <w:spacing w:before="120"/>
        <w:jc w:val="both"/>
      </w:pPr>
      <w:r w:rsidRPr="00D1550C">
        <w:t>The IIP is compiled in the form of a table reflecting flows and balances of operations.</w:t>
      </w:r>
    </w:p>
    <w:p w:rsidR="004817AF" w:rsidRPr="00D1550C" w:rsidRDefault="004817AF" w:rsidP="004817AF">
      <w:pPr>
        <w:spacing w:before="120"/>
        <w:jc w:val="both"/>
        <w:rPr>
          <w:b/>
        </w:rPr>
      </w:pPr>
      <w:r w:rsidRPr="00D1550C">
        <w:rPr>
          <w:b/>
        </w:rPr>
        <w:t>1.4. Sources of information and the formation of data on the external debt of the Republic of Uzbekistan</w:t>
      </w:r>
    </w:p>
    <w:p w:rsidR="004817AF" w:rsidRPr="00D1550C" w:rsidRDefault="004817AF" w:rsidP="004817AF">
      <w:pPr>
        <w:spacing w:before="120"/>
        <w:jc w:val="both"/>
      </w:pPr>
      <w:r w:rsidRPr="00D1550C">
        <w:t xml:space="preserve">The external debt of the Republic of Uzbekistan consists of the outstanding balance of debt on foreign borrowings of residents of the Republic of Uzbekistan, as well as accrued but unpaid interest on those borrowings. External debt is divided into private sector external debt and government external debt. </w:t>
      </w:r>
    </w:p>
    <w:p w:rsidR="004817AF" w:rsidRPr="00D1550C" w:rsidRDefault="004817AF" w:rsidP="004817AF">
      <w:pPr>
        <w:spacing w:before="120"/>
        <w:jc w:val="both"/>
      </w:pPr>
      <w:r w:rsidRPr="00D1550C">
        <w:lastRenderedPageBreak/>
        <w:t>Government external debt includes loans received by the government or under the guarantee of the government of the Republic of Uzbekistan.</w:t>
      </w:r>
    </w:p>
    <w:p w:rsidR="004817AF" w:rsidRPr="00D1550C" w:rsidRDefault="004817AF" w:rsidP="004817AF">
      <w:pPr>
        <w:spacing w:before="120"/>
        <w:jc w:val="both"/>
      </w:pPr>
      <w:r w:rsidRPr="00D1550C">
        <w:t>The Ministry of Finance of the Republic of Uzbekistan provides data on the disbursements of funds, accrual of interest and payments related to the government external debt.</w:t>
      </w:r>
    </w:p>
    <w:p w:rsidR="004817AF" w:rsidRPr="00D1550C" w:rsidRDefault="004817AF" w:rsidP="004817AF">
      <w:pPr>
        <w:spacing w:before="120"/>
        <w:jc w:val="both"/>
      </w:pPr>
      <w:r w:rsidRPr="00D1550C">
        <w:t>The external debt of the private sector consists of external borrowings received without the guarantee of the government of the Republic of Uzbekistan, including debt on loans provided by foreign parent companies. Information on the external debt of the private sector is provided by commercial banks.</w:t>
      </w:r>
    </w:p>
    <w:p w:rsidR="004817AF" w:rsidRPr="00D1550C" w:rsidRDefault="004817AF" w:rsidP="004817AF">
      <w:pPr>
        <w:spacing w:before="120"/>
        <w:jc w:val="both"/>
      </w:pPr>
      <w:r w:rsidRPr="00D1550C">
        <w:t>Data on the external debt of the private sector are formed in the context of economic sectors (oil and gas and energy sector, banking, telecommunications, textile and other sectors).</w:t>
      </w:r>
    </w:p>
    <w:p w:rsidR="004817AF" w:rsidRPr="00D1550C" w:rsidRDefault="004817AF" w:rsidP="004817AF">
      <w:pPr>
        <w:jc w:val="both"/>
      </w:pPr>
      <w:r w:rsidRPr="00D1550C">
        <w:t xml:space="preserve">Also, banks provide data on the forecasts relating to the future repayment of principal and interest. </w:t>
      </w:r>
    </w:p>
    <w:p w:rsidR="00DE36E4" w:rsidRPr="00D1550C" w:rsidRDefault="00DE36E4" w:rsidP="00DE36E4">
      <w:pPr>
        <w:spacing w:before="120"/>
        <w:jc w:val="both"/>
      </w:pPr>
      <w:r w:rsidRPr="00D1550C">
        <w:t>Starting from 2020 along the transitioning to IMF Special data dissemination standart gross external debt is presented in accordance with External debt manual (IMF, 2013).</w:t>
      </w:r>
    </w:p>
    <w:p w:rsidR="00DE36E4" w:rsidRPr="00D1550C" w:rsidRDefault="00DE36E4" w:rsidP="00DE36E4">
      <w:pPr>
        <w:spacing w:before="120"/>
        <w:jc w:val="both"/>
      </w:pPr>
      <w:r w:rsidRPr="00D1550C">
        <w:t>Following sectorization and detail is provided:</w:t>
      </w:r>
    </w:p>
    <w:p w:rsidR="00DE36E4" w:rsidRPr="00D1550C" w:rsidRDefault="00DE36E4" w:rsidP="00DE36E4">
      <w:pPr>
        <w:pStyle w:val="af"/>
        <w:numPr>
          <w:ilvl w:val="0"/>
          <w:numId w:val="18"/>
        </w:numPr>
        <w:spacing w:before="120"/>
        <w:ind w:left="142" w:hanging="142"/>
        <w:jc w:val="both"/>
      </w:pPr>
      <w:r w:rsidRPr="00D1550C">
        <w:t>Sectors: General government sector, Central bank, Commercial banks, Other sectors.</w:t>
      </w:r>
    </w:p>
    <w:p w:rsidR="00DE36E4" w:rsidRPr="00D1550C" w:rsidRDefault="00DE36E4" w:rsidP="00DE36E4">
      <w:pPr>
        <w:pStyle w:val="af"/>
        <w:numPr>
          <w:ilvl w:val="0"/>
          <w:numId w:val="18"/>
        </w:numPr>
        <w:spacing w:before="120"/>
        <w:ind w:left="142" w:hanging="142"/>
        <w:jc w:val="both"/>
      </w:pPr>
      <w:r w:rsidRPr="00D1550C">
        <w:t>Initial maturity: short term, long term.</w:t>
      </w:r>
    </w:p>
    <w:p w:rsidR="00DE36E4" w:rsidRPr="00D1550C" w:rsidRDefault="00DE36E4" w:rsidP="00DE36E4">
      <w:pPr>
        <w:pStyle w:val="af"/>
        <w:numPr>
          <w:ilvl w:val="0"/>
          <w:numId w:val="18"/>
        </w:numPr>
        <w:spacing w:before="120"/>
        <w:ind w:left="142" w:hanging="142"/>
        <w:jc w:val="both"/>
      </w:pPr>
      <w:r w:rsidRPr="00D1550C">
        <w:t>Instruments: currency and deposits, debt securities, loans, trade credits and advances, other debt liabilities.</w:t>
      </w:r>
    </w:p>
    <w:p w:rsidR="00DE36E4" w:rsidRPr="00D1550C" w:rsidRDefault="00DE36E4" w:rsidP="00DE36E4">
      <w:pPr>
        <w:spacing w:before="120"/>
        <w:jc w:val="both"/>
      </w:pPr>
      <w:r w:rsidRPr="00D1550C">
        <w:t>Debt securities are provided at market value; memorandum shows debt secutirites in nominal value with accrued interest.</w:t>
      </w:r>
    </w:p>
    <w:p w:rsidR="00DE36E4" w:rsidRPr="00D1550C" w:rsidRDefault="00DE36E4" w:rsidP="00DE36E4">
      <w:pPr>
        <w:spacing w:before="120"/>
        <w:jc w:val="both"/>
      </w:pPr>
      <w:r w:rsidRPr="00D1550C">
        <w:t>Intragroup financing (ex. loans from parent companies) are shown in separate line.</w:t>
      </w:r>
    </w:p>
    <w:p w:rsidR="00DE36E4" w:rsidRPr="00D1550C" w:rsidRDefault="00DE36E4" w:rsidP="004817AF">
      <w:pPr>
        <w:jc w:val="both"/>
      </w:pPr>
    </w:p>
    <w:p w:rsidR="004817AF" w:rsidRPr="00D1550C" w:rsidRDefault="004817AF" w:rsidP="004817AF">
      <w:pPr>
        <w:spacing w:before="120"/>
        <w:jc w:val="both"/>
        <w:rPr>
          <w:b/>
        </w:rPr>
      </w:pPr>
      <w:r w:rsidRPr="00D1550C">
        <w:rPr>
          <w:b/>
        </w:rPr>
        <w:t>1.5. Legal basis of data compilation</w:t>
      </w:r>
    </w:p>
    <w:p w:rsidR="004817AF" w:rsidRPr="00D1550C" w:rsidRDefault="004817AF" w:rsidP="004817AF">
      <w:pPr>
        <w:spacing w:before="120"/>
        <w:jc w:val="both"/>
        <w:rPr>
          <w:rFonts w:cs="Arial"/>
        </w:rPr>
      </w:pPr>
      <w:r w:rsidRPr="00D1550C">
        <w:rPr>
          <w:rFonts w:cs="Arial"/>
        </w:rPr>
        <w:t xml:space="preserve">1. Laws of the Republic of Uzbekistan </w:t>
      </w:r>
      <w:r w:rsidRPr="00D1550C">
        <w:t>«</w:t>
      </w:r>
      <w:r w:rsidRPr="00D1550C">
        <w:rPr>
          <w:rFonts w:cs="Arial"/>
        </w:rPr>
        <w:t>On the Central bank of the Republic of Uzbekistan</w:t>
      </w:r>
      <w:r w:rsidRPr="00D1550C">
        <w:t>»</w:t>
      </w:r>
      <w:r w:rsidRPr="00D1550C">
        <w:rPr>
          <w:rFonts w:cs="Arial"/>
        </w:rPr>
        <w:t xml:space="preserve"> and </w:t>
      </w:r>
      <w:r w:rsidRPr="00D1550C">
        <w:t>«</w:t>
      </w:r>
      <w:r w:rsidRPr="00D1550C">
        <w:rPr>
          <w:rFonts w:cs="Arial"/>
        </w:rPr>
        <w:t>On currency regulation</w:t>
      </w:r>
      <w:r w:rsidRPr="00D1550C">
        <w:t>»</w:t>
      </w:r>
      <w:r w:rsidRPr="00D1550C">
        <w:rPr>
          <w:rFonts w:cs="Arial"/>
        </w:rPr>
        <w:t xml:space="preserve"> (new edition).</w:t>
      </w:r>
    </w:p>
    <w:p w:rsidR="004817AF" w:rsidRPr="00D1550C" w:rsidRDefault="004817AF" w:rsidP="004817AF">
      <w:pPr>
        <w:spacing w:before="120"/>
        <w:jc w:val="both"/>
      </w:pPr>
      <w:r w:rsidRPr="00D1550C">
        <w:t xml:space="preserve">2. Decree by the President of the Republic of Uzbekistan dated January 9, 2018 № УП-5296 </w:t>
      </w:r>
      <w:r w:rsidRPr="00D1550C">
        <w:br/>
      </w:r>
      <w:r w:rsidRPr="00D1550C">
        <w:lastRenderedPageBreak/>
        <w:t>«On measures for fundamental improvement of activities of the Central bank of Uzbekistan.</w:t>
      </w:r>
    </w:p>
    <w:p w:rsidR="004817AF" w:rsidRPr="00D1550C" w:rsidRDefault="004817AF" w:rsidP="004817AF">
      <w:pPr>
        <w:spacing w:before="120"/>
        <w:jc w:val="both"/>
      </w:pPr>
      <w:r w:rsidRPr="00D1550C">
        <w:t xml:space="preserve">3. Decree by the President of the Republic of Uzbekistan dated September 12, 2017 </w:t>
      </w:r>
      <w:r w:rsidRPr="00D1550C">
        <w:br/>
        <w:t>№ Р-5054 «On measures to ensure openness and transparency of economic and financial data on Republic of Uzbekistan»</w:t>
      </w:r>
    </w:p>
    <w:p w:rsidR="004817AF" w:rsidRPr="00D1550C" w:rsidRDefault="004817AF" w:rsidP="004817AF">
      <w:pPr>
        <w:spacing w:before="120"/>
        <w:jc w:val="both"/>
      </w:pPr>
      <w:r w:rsidRPr="00D1550C">
        <w:t xml:space="preserve">4. Decree of the Cabinet of Ministers </w:t>
      </w:r>
      <w:r w:rsidRPr="00D1550C">
        <w:br/>
        <w:t xml:space="preserve">of Uzbekistan dated April 3, 2018 № 263 </w:t>
      </w:r>
      <w:r w:rsidRPr="00D1550C">
        <w:br/>
        <w:t>«On measures to ensure compilation of external sector statistics of the Republic of Uzbekistan».</w:t>
      </w: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sectPr w:rsidR="004817AF" w:rsidRPr="00D1550C" w:rsidSect="00355F78">
          <w:type w:val="continuous"/>
          <w:pgSz w:w="11906" w:h="16838" w:code="9"/>
          <w:pgMar w:top="1134" w:right="851" w:bottom="1134" w:left="1134" w:header="709" w:footer="664" w:gutter="0"/>
          <w:cols w:num="2" w:space="281"/>
          <w:titlePg/>
          <w:docGrid w:linePitch="360"/>
        </w:sectPr>
      </w:pPr>
    </w:p>
    <w:p w:rsidR="004817AF" w:rsidRPr="00D1550C" w:rsidRDefault="004817AF" w:rsidP="00470F0E">
      <w:pPr>
        <w:pStyle w:val="1"/>
        <w:spacing w:before="60" w:after="120"/>
        <w:ind w:left="709"/>
        <w:rPr>
          <w:rFonts w:ascii="Calibri" w:hAnsi="Calibri" w:cs="Calibri"/>
          <w:lang w:val="en-US"/>
        </w:rPr>
      </w:pPr>
      <w:bookmarkStart w:id="47" w:name="_Toc36453593"/>
      <w:bookmarkStart w:id="48" w:name="_Toc83291147"/>
      <w:r w:rsidRPr="00D1550C">
        <w:rPr>
          <w:rFonts w:ascii="Calibri" w:hAnsi="Calibri" w:cs="Calibri"/>
          <w:lang w:val="en-US"/>
        </w:rPr>
        <w:lastRenderedPageBreak/>
        <w:t>GLOSSARY OF TERMS</w:t>
      </w:r>
      <w:bookmarkEnd w:id="47"/>
      <w:bookmarkEnd w:id="48"/>
    </w:p>
    <w:tbl>
      <w:tblPr>
        <w:tblW w:w="0" w:type="auto"/>
        <w:tblBorders>
          <w:top w:val="single" w:sz="4" w:space="0" w:color="4472C4"/>
          <w:left w:val="single" w:sz="4" w:space="0" w:color="4472C4"/>
          <w:bottom w:val="single" w:sz="4" w:space="0" w:color="4472C4"/>
          <w:right w:val="single" w:sz="4" w:space="0" w:color="4472C4"/>
        </w:tblBorders>
        <w:tblLook w:val="00A0" w:firstRow="1" w:lastRow="0" w:firstColumn="1" w:lastColumn="0" w:noHBand="0" w:noVBand="0"/>
      </w:tblPr>
      <w:tblGrid>
        <w:gridCol w:w="2717"/>
        <w:gridCol w:w="7153"/>
      </w:tblGrid>
      <w:tr w:rsidR="004817AF" w:rsidRPr="00D1550C" w:rsidTr="00470F0E">
        <w:trPr>
          <w:trHeight w:val="488"/>
        </w:trPr>
        <w:tc>
          <w:tcPr>
            <w:tcW w:w="2717" w:type="dxa"/>
            <w:tcBorders>
              <w:bottom w:val="nil"/>
              <w:right w:val="nil"/>
            </w:tcBorders>
            <w:shd w:val="clear" w:color="auto" w:fill="9CC2E5"/>
            <w:vAlign w:val="center"/>
          </w:tcPr>
          <w:p w:rsidR="004817AF" w:rsidRPr="00D1550C" w:rsidRDefault="004817AF" w:rsidP="00C957A2">
            <w:pPr>
              <w:spacing w:before="60" w:after="60"/>
              <w:jc w:val="center"/>
              <w:rPr>
                <w:rFonts w:cs="Calibri"/>
                <w:b/>
                <w:bCs/>
                <w:color w:val="000000"/>
              </w:rPr>
            </w:pPr>
            <w:r w:rsidRPr="00D1550C">
              <w:rPr>
                <w:rFonts w:cs="Calibri"/>
                <w:b/>
                <w:bCs/>
                <w:color w:val="000000"/>
              </w:rPr>
              <w:t>Term</w:t>
            </w:r>
          </w:p>
        </w:tc>
        <w:tc>
          <w:tcPr>
            <w:tcW w:w="7153" w:type="dxa"/>
            <w:shd w:val="clear" w:color="auto" w:fill="9CC2E5"/>
            <w:vAlign w:val="center"/>
          </w:tcPr>
          <w:p w:rsidR="004817AF" w:rsidRPr="00D1550C" w:rsidRDefault="004817AF" w:rsidP="00C957A2">
            <w:pPr>
              <w:spacing w:before="60" w:after="60"/>
              <w:jc w:val="center"/>
              <w:rPr>
                <w:rFonts w:cs="Calibri"/>
                <w:b/>
                <w:bCs/>
                <w:color w:val="000000"/>
              </w:rPr>
            </w:pPr>
            <w:r w:rsidRPr="00D1550C">
              <w:rPr>
                <w:rFonts w:cs="Calibri"/>
                <w:b/>
                <w:bCs/>
                <w:color w:val="000000"/>
              </w:rPr>
              <w:t>Description</w:t>
            </w:r>
          </w:p>
        </w:tc>
      </w:tr>
      <w:tr w:rsidR="004817AF" w:rsidRPr="00D1550C" w:rsidTr="00470F0E">
        <w:trPr>
          <w:trHeight w:val="74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Cross-border money remittances</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Transfer of funds from sender to recipient through international payment systems in order to replenish to the recipient’s account or issue in cash.</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Factor income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shd w:val="clear" w:color="auto" w:fill="FFFFFF"/>
              </w:rPr>
              <w:t>Income derived from resource exploitation or production factors (land, labor, capital).</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Foreign trade turnover </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indicator which measured in money equivalent to identify volume of foreign trade of country, group of countries or administrative-territorial formation (region) for a certain period of time: month, quarter, year. Turnover is equal to sum of export and import.</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Adjustments in balance of payments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Necessary changes in coverage, classification, date of reporting or changes in price evaluation to meet requirements of balance of payments.</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Shuttle trade</w:t>
            </w:r>
          </w:p>
        </w:tc>
        <w:tc>
          <w:tcPr>
            <w:tcW w:w="7153" w:type="dxa"/>
            <w:shd w:val="clear" w:color="auto" w:fill="auto"/>
          </w:tcPr>
          <w:p w:rsidR="004817AF" w:rsidRPr="00D1550C" w:rsidRDefault="004817AF" w:rsidP="00C957A2">
            <w:pPr>
              <w:shd w:val="clear" w:color="auto" w:fill="F8F9FA"/>
              <w:spacing w:before="60" w:after="60"/>
              <w:jc w:val="both"/>
              <w:rPr>
                <w:rFonts w:cs="Calibri"/>
                <w:color w:val="000000"/>
              </w:rPr>
            </w:pPr>
            <w:r w:rsidRPr="00D1550C">
              <w:rPr>
                <w:rFonts w:cs="Calibri"/>
                <w:color w:val="000000"/>
              </w:rPr>
              <w:t>Refers to the activity in which individuals buy goods abroad and bring them for resale in domestic markets or vice versa.</w:t>
            </w:r>
          </w:p>
        </w:tc>
      </w:tr>
      <w:tr w:rsidR="004817AF" w:rsidRPr="00D1550C" w:rsidTr="00470F0E">
        <w:trPr>
          <w:trHeight w:val="335"/>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Export FOB</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shd w:val="clear" w:color="auto" w:fill="FFFFFF"/>
              </w:rPr>
            </w:pPr>
            <w:r w:rsidRPr="00D1550C">
              <w:rPr>
                <w:rFonts w:cs="Calibri"/>
                <w:color w:val="000000"/>
                <w:shd w:val="clear" w:color="auto" w:fill="FFFFFF"/>
              </w:rPr>
              <w:t xml:space="preserve">International trade term of Incoterms which means that the seller fulfills his obligation to deliver when the goods have passed over the ship’s rail at the named port of shipment. The seller has to bear costs of delivering goods to ship. </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Import CIF</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shd w:val="clear" w:color="auto" w:fill="FFFFFF"/>
              </w:rPr>
              <w:t>International trade term of Incoterms which means that the seller completed delivery when goods are loaded on the ship. Selling price includes price of good, freight, costs of transportation and insurance.</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Goods in ports</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Goods bought by non-resident carriers in domestic ports and vice versa. Includes goods like fuel, provision, supplies, ballast, fixing materials and etc.</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Non-monetary gold</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 xml:space="preserve">Includes all gold except monetary gold (gold bars owned by monetary authorities and stored as reserve assets). Not included – jewelry, parts that contain gold; they are recorded in export and import of goods. </w:t>
            </w:r>
          </w:p>
        </w:tc>
      </w:tr>
      <w:tr w:rsidR="004817AF" w:rsidRPr="00D1550C" w:rsidTr="00470F0E">
        <w:trPr>
          <w:trHeight w:val="74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Special Drawing Rights</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International reserve assets issued and allocated by IMF to support reserves of country members.</w:t>
            </w:r>
          </w:p>
        </w:tc>
      </w:tr>
      <w:tr w:rsidR="004817AF" w:rsidRPr="00D1550C" w:rsidTr="00470F0E">
        <w:trPr>
          <w:trHeight w:val="941"/>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International Investment Position </w:t>
            </w:r>
          </w:p>
        </w:tc>
        <w:tc>
          <w:tcPr>
            <w:tcW w:w="7153" w:type="dxa"/>
            <w:shd w:val="clear" w:color="auto" w:fill="auto"/>
          </w:tcPr>
          <w:p w:rsidR="004817AF" w:rsidRPr="00D1550C" w:rsidRDefault="004817AF" w:rsidP="00C957A2">
            <w:pPr>
              <w:spacing w:before="60" w:after="60"/>
              <w:jc w:val="both"/>
              <w:rPr>
                <w:rFonts w:cs="Calibri"/>
                <w:color w:val="000000"/>
                <w:shd w:val="clear" w:color="auto" w:fill="FFFFFF"/>
              </w:rPr>
            </w:pPr>
            <w:r w:rsidRPr="00D1550C">
              <w:rPr>
                <w:rFonts w:cs="Calibri"/>
                <w:color w:val="000000"/>
                <w:shd w:val="clear" w:color="auto" w:fill="FFFFFF"/>
              </w:rPr>
              <w:t>International investment position (IIP) – macroeconomic statement which shows volume and structure of financial assets and liabilities to non-residents.</w:t>
            </w:r>
          </w:p>
        </w:tc>
      </w:tr>
      <w:tr w:rsidR="004817AF" w:rsidRPr="00D1550C" w:rsidTr="00470F0E">
        <w:trPr>
          <w:trHeight w:val="1488"/>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Production sharing agreements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 xml:space="preserve">An agreement whereby the host country awards rights to execute exploration and extraction of minerals to a foreign investor on a reimbursable basis for certain period. Related work is executed at place which is specified in the agreement and investor bears all the expenses at its own risk. </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Net lender </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entity whose assets exceed liabilities.</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Net borrower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entity whose liabilities exceed assets.</w:t>
            </w:r>
          </w:p>
        </w:tc>
      </w:tr>
      <w:tr w:rsidR="00DE36E4" w:rsidRPr="00D1550C" w:rsidTr="00470F0E">
        <w:trPr>
          <w:trHeight w:val="370"/>
        </w:trPr>
        <w:tc>
          <w:tcPr>
            <w:tcW w:w="2717" w:type="dxa"/>
            <w:tcBorders>
              <w:top w:val="single" w:sz="4" w:space="0" w:color="4472C4"/>
              <w:bottom w:val="single" w:sz="4" w:space="0" w:color="4472C4"/>
              <w:right w:val="nil"/>
            </w:tcBorders>
            <w:shd w:val="clear" w:color="auto" w:fill="FFFFFF"/>
          </w:tcPr>
          <w:p w:rsidR="00DE36E4" w:rsidRPr="00D1550C" w:rsidRDefault="00DE36E4" w:rsidP="00C957A2">
            <w:pPr>
              <w:spacing w:before="60" w:after="60"/>
              <w:rPr>
                <w:rFonts w:cs="Calibri"/>
                <w:b/>
                <w:bCs/>
                <w:color w:val="000000"/>
              </w:rPr>
            </w:pPr>
            <w:r w:rsidRPr="00D1550C">
              <w:rPr>
                <w:rFonts w:cs="Calibri"/>
                <w:b/>
                <w:bCs/>
                <w:color w:val="000000"/>
              </w:rPr>
              <w:lastRenderedPageBreak/>
              <w:t>Gross external debt</w:t>
            </w:r>
          </w:p>
        </w:tc>
        <w:tc>
          <w:tcPr>
            <w:tcW w:w="7153" w:type="dxa"/>
            <w:tcBorders>
              <w:top w:val="single" w:sz="4" w:space="0" w:color="4472C4"/>
              <w:bottom w:val="single" w:sz="4" w:space="0" w:color="4472C4"/>
            </w:tcBorders>
            <w:shd w:val="clear" w:color="auto" w:fill="auto"/>
          </w:tcPr>
          <w:p w:rsidR="00DE36E4" w:rsidRPr="00D1550C" w:rsidRDefault="00DE36E4" w:rsidP="00C957A2">
            <w:pPr>
              <w:spacing w:before="60" w:after="60"/>
              <w:jc w:val="both"/>
              <w:rPr>
                <w:rFonts w:cs="Calibri"/>
                <w:color w:val="000000"/>
              </w:rPr>
            </w:pPr>
            <w:r w:rsidRPr="00D1550C">
              <w:rPr>
                <w:rFonts w:cs="Calibri"/>
                <w:color w:val="000000"/>
              </w:rPr>
              <w:t xml:space="preserve">Shows all liabilities of resident to non-residents irrespective of marurity and respective instruments. </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bCs/>
                <w:color w:val="000000"/>
              </w:rPr>
            </w:pPr>
            <w:r w:rsidRPr="00D1550C">
              <w:rPr>
                <w:rFonts w:cs="Calibri"/>
                <w:b/>
                <w:bCs/>
                <w:color w:val="000000"/>
              </w:rPr>
              <w:t>Monetary gold</w:t>
            </w:r>
          </w:p>
        </w:tc>
        <w:tc>
          <w:tcPr>
            <w:tcW w:w="7153" w:type="dxa"/>
            <w:tcBorders>
              <w:top w:val="single" w:sz="4" w:space="0" w:color="4472C4"/>
              <w:bottom w:val="single" w:sz="4" w:space="0" w:color="4472C4"/>
            </w:tcBorders>
            <w:shd w:val="clear" w:color="auto" w:fill="auto"/>
          </w:tcPr>
          <w:p w:rsidR="001E4719" w:rsidRPr="00D1550C" w:rsidRDefault="001E4719" w:rsidP="00C957A2">
            <w:pPr>
              <w:spacing w:before="60" w:after="60"/>
              <w:jc w:val="both"/>
              <w:rPr>
                <w:rFonts w:cs="Calibri"/>
                <w:color w:val="000000"/>
              </w:rPr>
            </w:pPr>
            <w:r w:rsidRPr="00D1550C">
              <w:rPr>
                <w:rFonts w:cs="Calibri"/>
                <w:color w:val="000000"/>
              </w:rPr>
              <w:t>Gold bars owned by monetary authorities and stored as reserve assets. Gold bars sold to other institutions are demonetized and considered as non-monetary gold.</w:t>
            </w:r>
          </w:p>
        </w:tc>
      </w:tr>
      <w:tr w:rsidR="00DE36E4" w:rsidRPr="00D1550C" w:rsidTr="00470F0E">
        <w:trPr>
          <w:trHeight w:val="370"/>
        </w:trPr>
        <w:tc>
          <w:tcPr>
            <w:tcW w:w="2717" w:type="dxa"/>
            <w:tcBorders>
              <w:top w:val="single" w:sz="4" w:space="0" w:color="4472C4"/>
              <w:bottom w:val="single" w:sz="4" w:space="0" w:color="4472C4"/>
              <w:right w:val="nil"/>
            </w:tcBorders>
            <w:shd w:val="clear" w:color="auto" w:fill="FFFFFF"/>
          </w:tcPr>
          <w:p w:rsidR="00DE36E4" w:rsidRPr="00D1550C" w:rsidRDefault="001E4719" w:rsidP="00C957A2">
            <w:pPr>
              <w:spacing w:before="60" w:after="60"/>
              <w:rPr>
                <w:rFonts w:cs="Calibri"/>
                <w:b/>
                <w:bCs/>
                <w:color w:val="000000"/>
              </w:rPr>
            </w:pPr>
            <w:r w:rsidRPr="00D1550C">
              <w:rPr>
                <w:rFonts w:cs="Calibri"/>
                <w:b/>
                <w:color w:val="000000"/>
              </w:rPr>
              <w:t>NPISHs</w:t>
            </w:r>
          </w:p>
        </w:tc>
        <w:tc>
          <w:tcPr>
            <w:tcW w:w="7153" w:type="dxa"/>
            <w:tcBorders>
              <w:top w:val="single" w:sz="4" w:space="0" w:color="4472C4"/>
              <w:bottom w:val="single" w:sz="4" w:space="0" w:color="4472C4"/>
            </w:tcBorders>
            <w:shd w:val="clear" w:color="auto" w:fill="auto"/>
          </w:tcPr>
          <w:p w:rsidR="00DE36E4" w:rsidRPr="00D1550C" w:rsidRDefault="001E4719" w:rsidP="00C957A2">
            <w:pPr>
              <w:spacing w:before="60" w:after="60"/>
              <w:jc w:val="both"/>
              <w:rPr>
                <w:rFonts w:cs="Calibri"/>
                <w:color w:val="000000"/>
              </w:rPr>
            </w:pPr>
            <w:r w:rsidRPr="00D1550C">
              <w:rPr>
                <w:rFonts w:cs="Calibri"/>
                <w:color w:val="000000"/>
              </w:rPr>
              <w:t>Non-profit institutions serving households</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Reverse investment</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Purchase of shares direct investor’s share by direct investment enterprise</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Fellow enterprises</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Two or more companies located in different jurisdiction and having common foreign owner’s share</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UFRD</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Uzbekistan’s fund for reconstruction and development</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IMF</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International monetary fund</w:t>
            </w:r>
          </w:p>
        </w:tc>
      </w:tr>
    </w:tbl>
    <w:p w:rsidR="004817AF" w:rsidRPr="00D1550C" w:rsidRDefault="004817AF" w:rsidP="006C6E02">
      <w:pPr>
        <w:jc w:val="right"/>
        <w:rPr>
          <w:i/>
          <w:sz w:val="6"/>
          <w:szCs w:val="6"/>
        </w:rPr>
      </w:pPr>
    </w:p>
    <w:sectPr w:rsidR="004817AF" w:rsidRPr="00D1550C" w:rsidSect="004817AF">
      <w:footerReference w:type="first" r:id="rId54"/>
      <w:pgSz w:w="11906" w:h="16838"/>
      <w:pgMar w:top="1134" w:right="70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B09" w:rsidRDefault="00461B09" w:rsidP="000031B1">
      <w:r>
        <w:separator/>
      </w:r>
    </w:p>
  </w:endnote>
  <w:endnote w:type="continuationSeparator" w:id="0">
    <w:p w:rsidR="00461B09" w:rsidRDefault="00461B09"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B09" w:rsidRPr="00211205" w:rsidRDefault="00461B09" w:rsidP="00DC6A47">
    <w:pPr>
      <w:pStyle w:val="ac"/>
      <w:spacing w:before="120"/>
      <w:rPr>
        <w:rFonts w:cs="Calibri"/>
        <w:sz w:val="22"/>
        <w:szCs w:val="22"/>
      </w:rPr>
    </w:pPr>
    <w:r w:rsidRPr="00633FE0">
      <w:rPr>
        <w:rFonts w:cs="Calibri"/>
        <w:noProof/>
        <w:sz w:val="22"/>
        <w:szCs w:val="22"/>
        <w:lang w:val="ru-RU"/>
      </w:rPr>
      <mc:AlternateContent>
        <mc:Choice Requires="wpg">
          <w:drawing>
            <wp:anchor distT="0" distB="0" distL="0" distR="0" simplePos="0" relativeHeight="251656192" behindDoc="0" locked="0" layoutInCell="1" allowOverlap="1">
              <wp:simplePos x="0" y="0"/>
              <wp:positionH relativeFrom="page">
                <wp:posOffset>774700</wp:posOffset>
              </wp:positionH>
              <wp:positionV relativeFrom="page">
                <wp:posOffset>9955530</wp:posOffset>
              </wp:positionV>
              <wp:extent cx="5918200" cy="464820"/>
              <wp:effectExtent l="12700" t="11430" r="12700" b="9525"/>
              <wp:wrapSquare wrapText="bothSides"/>
              <wp:docPr id="10"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11"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12"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61B09" w:rsidRDefault="00461B09" w:rsidP="00537E67">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THE FIRST HALF OF 2021</w:t>
                            </w:r>
                          </w:p>
                          <w:p w:rsidR="00461B09" w:rsidRPr="00537E67" w:rsidRDefault="00461B09" w:rsidP="00086BAA">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7" o:spid="_x0000_s1033" style="position:absolute;margin-left:61pt;margin-top:783.9pt;width:466pt;height:36.6pt;z-index:251656192;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">
              <v:rect id="Прямоугольник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" fillcolor="#00b0f0" strokecolor="#8eaadb" strokeweight="1pt"/>
              <v:shapetype id="_x0000_t202" coordsize="21600,21600" o:spt="202" path="m,l,21600r21600,l21600,xe">
                <v:stroke joinstyle="miter"/>
                <v:path gradientshapeok="t" o:connecttype="rect"/>
              </v:shapetype>
              <v:shape id="Текстовое поле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" filled="f" strokecolor="white" strokeweight=".5pt">
                <v:textbox inset=",,,0">
                  <w:txbxContent>
                    <w:p w:rsidR="00461B09" w:rsidRDefault="00461B09" w:rsidP="00537E67">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THE FIRST HALF OF 2021</w:t>
                      </w:r>
                    </w:p>
                    <w:p w:rsidR="00461B09" w:rsidRPr="00537E67" w:rsidRDefault="00461B09" w:rsidP="00086BAA">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5168" behindDoc="0" locked="0" layoutInCell="1" allowOverlap="1">
              <wp:simplePos x="0" y="0"/>
              <wp:positionH relativeFrom="page">
                <wp:posOffset>6711950</wp:posOffset>
              </wp:positionH>
              <wp:positionV relativeFrom="page">
                <wp:posOffset>9955530</wp:posOffset>
              </wp:positionV>
              <wp:extent cx="339725" cy="405130"/>
              <wp:effectExtent l="0" t="0" r="3175" b="0"/>
              <wp:wrapSquare wrapText="bothSides"/>
              <wp:docPr id="9"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461B09" w:rsidRPr="00633FE0" w:rsidRDefault="00461B09" w:rsidP="000E1507">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444AD">
                            <w:rPr>
                              <w:rFonts w:cs="Calibri"/>
                              <w:noProof/>
                              <w:color w:val="FFFFFF"/>
                              <w:sz w:val="22"/>
                              <w:szCs w:val="22"/>
                            </w:rPr>
                            <w:t>34</w:t>
                          </w:r>
                          <w:r w:rsidRPr="00633FE0">
                            <w:rPr>
                              <w:rFonts w:cs="Calibri"/>
                              <w:color w:val="FFFFFF"/>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528.5pt;margin-top:783.9pt;width:26.75pt;height:31.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" fillcolor="#00b0f0" stroked="f" strokeweight="3pt">
              <v:textbox>
                <w:txbxContent>
                  <w:p w:rsidR="00461B09" w:rsidRPr="00633FE0" w:rsidRDefault="00461B09" w:rsidP="000E1507">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444AD">
                      <w:rPr>
                        <w:rFonts w:cs="Calibri"/>
                        <w:noProof/>
                        <w:color w:val="FFFFFF"/>
                        <w:sz w:val="22"/>
                        <w:szCs w:val="22"/>
                      </w:rPr>
                      <w:t>34</w:t>
                    </w:r>
                    <w:r w:rsidRPr="00633FE0">
                      <w:rPr>
                        <w:rFonts w:cs="Calibri"/>
                        <w:color w:val="FFFFFF"/>
                        <w:sz w:val="22"/>
                        <w:szCs w:val="22"/>
                      </w:rPr>
                      <w:fldChar w:fldCharType="end"/>
                    </w:r>
                  </w:p>
                </w:txbxContent>
              </v:textbox>
              <w10:wrap type="square"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6274"/>
      <w:docPartObj>
        <w:docPartGallery w:val="Page Numbers (Bottom of Page)"/>
        <w:docPartUnique/>
      </w:docPartObj>
    </w:sdtPr>
    <w:sdtEndPr/>
    <w:sdtContent>
      <w:p w:rsidR="00461B09" w:rsidRDefault="00461B09">
        <w:pPr>
          <w:pStyle w:val="ac"/>
          <w:jc w:val="right"/>
        </w:pPr>
        <w:r>
          <w:fldChar w:fldCharType="begin"/>
        </w:r>
        <w:r>
          <w:instrText>PAGE   \* MERGEFORMAT</w:instrText>
        </w:r>
        <w:r>
          <w:fldChar w:fldCharType="separate"/>
        </w:r>
        <w:r w:rsidR="001444AD">
          <w:rPr>
            <w:noProof/>
          </w:rPr>
          <w:t>86</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B09" w:rsidRPr="00034B8C" w:rsidRDefault="00461B09" w:rsidP="00034B8C">
    <w:pPr>
      <w:pStyle w:val="ac"/>
      <w:jc w:val="right"/>
    </w:pPr>
    <w:r>
      <w:t>66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B09" w:rsidRPr="00034B8C" w:rsidRDefault="00461B09" w:rsidP="00034B8C">
    <w:pPr>
      <w:pStyle w:val="ac"/>
      <w:jc w:val="right"/>
    </w:pPr>
    <w:r>
      <w:t>62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B09" w:rsidRPr="00AC403E" w:rsidRDefault="00461B09" w:rsidP="00AC403E">
    <w:pPr>
      <w:pStyle w:val="ac"/>
      <w:spacing w:before="120"/>
    </w:pPr>
    <w:r w:rsidRPr="00633FE0">
      <w:rPr>
        <w:rFonts w:cs="Calibri"/>
        <w:noProof/>
        <w:sz w:val="22"/>
        <w:szCs w:val="22"/>
        <w:lang w:val="ru-RU"/>
      </w:rPr>
      <mc:AlternateContent>
        <mc:Choice Requires="wpg">
          <w:drawing>
            <wp:anchor distT="0" distB="0" distL="0" distR="0" simplePos="0" relativeHeight="251658240" behindDoc="0" locked="0" layoutInCell="1" allowOverlap="1" wp14:anchorId="327D1538" wp14:editId="03A3DA3E">
              <wp:simplePos x="0" y="0"/>
              <wp:positionH relativeFrom="page">
                <wp:posOffset>774700</wp:posOffset>
              </wp:positionH>
              <wp:positionV relativeFrom="page">
                <wp:posOffset>9955530</wp:posOffset>
              </wp:positionV>
              <wp:extent cx="5918200" cy="464820"/>
              <wp:effectExtent l="12700" t="11430" r="12700" b="9525"/>
              <wp:wrapSquare wrapText="bothSides"/>
              <wp:docPr id="6"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7"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8"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61B09" w:rsidRDefault="00461B09" w:rsidP="00AC403E">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THE FIRST HALF OF 2021</w:t>
                            </w:r>
                          </w:p>
                          <w:p w:rsidR="00461B09" w:rsidRPr="005551C0" w:rsidRDefault="00461B09" w:rsidP="00AC403E">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D1538" id="_x0000_s1037" style="position:absolute;margin-left:61pt;margin-top:783.9pt;width:466pt;height:36.6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">
              <v:rect id="Прямоугольник 38" o:spid="_x0000_s103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3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" filled="f" strokecolor="white" strokeweight=".5pt">
                <v:textbox inset=",,,0">
                  <w:txbxContent>
                    <w:p w:rsidR="00461B09" w:rsidRDefault="00461B09" w:rsidP="00AC403E">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THE FIRST HALF OF 2021</w:t>
                      </w:r>
                    </w:p>
                    <w:p w:rsidR="00461B09" w:rsidRPr="005551C0" w:rsidRDefault="00461B09" w:rsidP="00AC403E">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7216" behindDoc="0" locked="0" layoutInCell="1" allowOverlap="1" wp14:anchorId="3FF82848" wp14:editId="2E2E2EFE">
              <wp:simplePos x="0" y="0"/>
              <wp:positionH relativeFrom="page">
                <wp:posOffset>6711950</wp:posOffset>
              </wp:positionH>
              <wp:positionV relativeFrom="page">
                <wp:posOffset>9955530</wp:posOffset>
              </wp:positionV>
              <wp:extent cx="339725" cy="405130"/>
              <wp:effectExtent l="0" t="1905" r="0" b="2540"/>
              <wp:wrapSquare wrapText="bothSides"/>
              <wp:docPr id="5"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461B09" w:rsidRPr="00C24CE9" w:rsidRDefault="00461B09" w:rsidP="00AC403E">
                          <w:pPr>
                            <w:jc w:val="center"/>
                            <w:rPr>
                              <w:rFonts w:ascii="Times New Roman" w:hAnsi="Times New Roman"/>
                              <w:color w:val="FFFFFF"/>
                              <w:sz w:val="10"/>
                              <w:szCs w:val="10"/>
                            </w:rPr>
                          </w:pPr>
                        </w:p>
                        <w:p w:rsidR="00461B09" w:rsidRPr="00633FE0" w:rsidRDefault="00461B09"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444AD">
                            <w:rPr>
                              <w:rFonts w:cs="Calibri"/>
                              <w:noProof/>
                              <w:color w:val="FFFFFF"/>
                              <w:sz w:val="22"/>
                              <w:szCs w:val="22"/>
                            </w:rPr>
                            <w:t>20</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FF82848" id="_x0000_s1040" style="position:absolute;margin-left:528.5pt;margin-top:783.9pt;width:26.75pt;height:31.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" fillcolor="#00b0f0" stroked="f" strokeweight="3pt">
              <v:textbox>
                <w:txbxContent>
                  <w:p w:rsidR="00461B09" w:rsidRPr="00C24CE9" w:rsidRDefault="00461B09" w:rsidP="00AC403E">
                    <w:pPr>
                      <w:jc w:val="center"/>
                      <w:rPr>
                        <w:rFonts w:ascii="Times New Roman" w:hAnsi="Times New Roman"/>
                        <w:color w:val="FFFFFF"/>
                        <w:sz w:val="10"/>
                        <w:szCs w:val="10"/>
                      </w:rPr>
                    </w:pPr>
                  </w:p>
                  <w:p w:rsidR="00461B09" w:rsidRPr="00633FE0" w:rsidRDefault="00461B09"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444AD">
                      <w:rPr>
                        <w:rFonts w:cs="Calibri"/>
                        <w:noProof/>
                        <w:color w:val="FFFFFF"/>
                        <w:sz w:val="22"/>
                        <w:szCs w:val="22"/>
                      </w:rPr>
                      <w:t>20</w:t>
                    </w:r>
                    <w:r w:rsidRPr="00633FE0">
                      <w:rPr>
                        <w:rFonts w:cs="Calibri"/>
                        <w:color w:val="FFFFFF"/>
                        <w:sz w:val="22"/>
                        <w:szCs w:val="22"/>
                      </w:rPr>
                      <w:fldChar w:fldCharType="end"/>
                    </w:r>
                  </w:p>
                </w:txbxContent>
              </v:textbox>
              <w10:wrap type="square"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B09" w:rsidRPr="00211205" w:rsidRDefault="00461B09" w:rsidP="00355F78">
    <w:pPr>
      <w:pStyle w:val="ac"/>
      <w:jc w:val="right"/>
    </w:pPr>
    <w:r>
      <w:fldChar w:fldCharType="begin"/>
    </w:r>
    <w:r>
      <w:instrText>PAGE   \* MERGEFORMAT</w:instrText>
    </w:r>
    <w:r>
      <w:fldChar w:fldCharType="separate"/>
    </w:r>
    <w:r w:rsidR="001444AD">
      <w:rPr>
        <w:noProof/>
      </w:rPr>
      <w:t>44</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B09" w:rsidRPr="00F35FE0" w:rsidRDefault="00461B09" w:rsidP="00F62B80">
    <w:pPr>
      <w:pStyle w:val="ac"/>
      <w:spacing w:before="120"/>
      <w:jc w:val="right"/>
    </w:pPr>
    <w:r w:rsidRPr="00633FE0">
      <w:rPr>
        <w:rFonts w:cs="Calibri"/>
        <w:noProof/>
        <w:sz w:val="22"/>
        <w:szCs w:val="22"/>
        <w:lang w:val="ru-RU"/>
      </w:rPr>
      <mc:AlternateContent>
        <mc:Choice Requires="wpg">
          <w:drawing>
            <wp:anchor distT="0" distB="0" distL="0" distR="0" simplePos="0" relativeHeight="251660288" behindDoc="0" locked="0" layoutInCell="1" allowOverlap="1" wp14:anchorId="3CCDA223" wp14:editId="37D1E6B7">
              <wp:simplePos x="0" y="0"/>
              <wp:positionH relativeFrom="page">
                <wp:posOffset>774700</wp:posOffset>
              </wp:positionH>
              <wp:positionV relativeFrom="page">
                <wp:posOffset>9955530</wp:posOffset>
              </wp:positionV>
              <wp:extent cx="5918200" cy="464820"/>
              <wp:effectExtent l="12700" t="11430" r="12700" b="9525"/>
              <wp:wrapSquare wrapText="bothSides"/>
              <wp:docPr id="2"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3"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4"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61B09" w:rsidRPr="00461B09" w:rsidRDefault="00461B09"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DA223" id="_x0000_s1041" style="position:absolute;left:0;text-align:left;margin-left:61pt;margin-top:783.9pt;width:466pt;height:36.6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">
              <v:rect id="Прямоугольник 38" o:spid="_x0000_s104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43"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" filled="f" strokecolor="white" strokeweight=".5pt">
                <v:textbox inset=",,,0">
                  <w:txbxContent>
                    <w:p w:rsidR="00461B09" w:rsidRPr="00461B09" w:rsidRDefault="00461B09"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9264" behindDoc="0" locked="0" layoutInCell="1" allowOverlap="1" wp14:anchorId="0A8CD7B2" wp14:editId="583B79A4">
              <wp:simplePos x="0" y="0"/>
              <wp:positionH relativeFrom="page">
                <wp:posOffset>6711950</wp:posOffset>
              </wp:positionH>
              <wp:positionV relativeFrom="page">
                <wp:posOffset>9955530</wp:posOffset>
              </wp:positionV>
              <wp:extent cx="339725" cy="405130"/>
              <wp:effectExtent l="0" t="1905" r="0" b="2540"/>
              <wp:wrapSquare wrapText="bothSides"/>
              <wp:docPr id="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461B09" w:rsidRPr="00C24CE9" w:rsidRDefault="00461B09" w:rsidP="00AC403E">
                          <w:pPr>
                            <w:jc w:val="center"/>
                            <w:rPr>
                              <w:rFonts w:ascii="Times New Roman" w:hAnsi="Times New Roman"/>
                              <w:color w:val="FFFFFF"/>
                              <w:sz w:val="10"/>
                              <w:szCs w:val="10"/>
                            </w:rPr>
                          </w:pPr>
                        </w:p>
                        <w:p w:rsidR="00461B09" w:rsidRPr="00633FE0" w:rsidRDefault="00461B09"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444AD">
                            <w:rPr>
                              <w:rFonts w:cs="Calibri"/>
                              <w:noProof/>
                              <w:color w:val="FFFFFF"/>
                              <w:sz w:val="22"/>
                              <w:szCs w:val="22"/>
                            </w:rPr>
                            <w:t>35</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A8CD7B2" id="_x0000_s1044" style="position:absolute;left:0;text-align:left;margin-left:528.5pt;margin-top:783.9pt;width:26.75pt;height:31.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" fillcolor="#00b0f0" stroked="f" strokeweight="3pt">
              <v:textbox>
                <w:txbxContent>
                  <w:p w:rsidR="00461B09" w:rsidRPr="00C24CE9" w:rsidRDefault="00461B09" w:rsidP="00AC403E">
                    <w:pPr>
                      <w:jc w:val="center"/>
                      <w:rPr>
                        <w:rFonts w:ascii="Times New Roman" w:hAnsi="Times New Roman"/>
                        <w:color w:val="FFFFFF"/>
                        <w:sz w:val="10"/>
                        <w:szCs w:val="10"/>
                      </w:rPr>
                    </w:pPr>
                  </w:p>
                  <w:p w:rsidR="00461B09" w:rsidRPr="00633FE0" w:rsidRDefault="00461B09"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444AD">
                      <w:rPr>
                        <w:rFonts w:cs="Calibri"/>
                        <w:noProof/>
                        <w:color w:val="FFFFFF"/>
                        <w:sz w:val="22"/>
                        <w:szCs w:val="22"/>
                      </w:rPr>
                      <w:t>35</w:t>
                    </w:r>
                    <w:r w:rsidRPr="00633FE0">
                      <w:rPr>
                        <w:rFonts w:cs="Calibri"/>
                        <w:color w:val="FFFFFF"/>
                        <w:sz w:val="22"/>
                        <w:szCs w:val="22"/>
                      </w:rPr>
                      <w:fldChar w:fldCharType="end"/>
                    </w:r>
                  </w:p>
                </w:txbxContent>
              </v:textbox>
              <w10:wrap type="square" anchorx="page" anchory="page"/>
            </v:rect>
          </w:pict>
        </mc:Fallback>
      </mc:AlternateContent>
    </w:r>
    <w:r>
      <w:t>37</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882171"/>
      <w:docPartObj>
        <w:docPartGallery w:val="Page Numbers (Bottom of Page)"/>
        <w:docPartUnique/>
      </w:docPartObj>
    </w:sdtPr>
    <w:sdtEndPr/>
    <w:sdtContent>
      <w:p w:rsidR="00461B09" w:rsidRDefault="00461B09">
        <w:pPr>
          <w:pStyle w:val="ac"/>
          <w:jc w:val="right"/>
        </w:pPr>
        <w:r>
          <w:fldChar w:fldCharType="begin"/>
        </w:r>
        <w:r>
          <w:instrText>PAGE   \* MERGEFORMAT</w:instrText>
        </w:r>
        <w:r>
          <w:fldChar w:fldCharType="separate"/>
        </w:r>
        <w:r w:rsidR="001444AD">
          <w:rPr>
            <w:noProof/>
          </w:rPr>
          <w:t>72</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962407"/>
      <w:docPartObj>
        <w:docPartGallery w:val="Page Numbers (Bottom of Page)"/>
        <w:docPartUnique/>
      </w:docPartObj>
    </w:sdtPr>
    <w:sdtEndPr/>
    <w:sdtContent>
      <w:p w:rsidR="00461B09" w:rsidRDefault="00461B09">
        <w:pPr>
          <w:pStyle w:val="ac"/>
          <w:jc w:val="right"/>
        </w:pPr>
        <w:r>
          <w:fldChar w:fldCharType="begin"/>
        </w:r>
        <w:r>
          <w:instrText>PAGE   \* MERGEFORMAT</w:instrText>
        </w:r>
        <w:r>
          <w:fldChar w:fldCharType="separate"/>
        </w:r>
        <w:r w:rsidR="001444AD">
          <w:rPr>
            <w:noProof/>
          </w:rPr>
          <w:t>73</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120755"/>
      <w:docPartObj>
        <w:docPartGallery w:val="Page Numbers (Bottom of Page)"/>
        <w:docPartUnique/>
      </w:docPartObj>
    </w:sdtPr>
    <w:sdtEndPr/>
    <w:sdtContent>
      <w:p w:rsidR="00461B09" w:rsidRDefault="00461B09">
        <w:pPr>
          <w:pStyle w:val="ac"/>
          <w:jc w:val="right"/>
        </w:pPr>
        <w:r>
          <w:fldChar w:fldCharType="begin"/>
        </w:r>
        <w:r>
          <w:instrText>PAGE   \* MERGEFORMAT</w:instrText>
        </w:r>
        <w:r>
          <w:fldChar w:fldCharType="separate"/>
        </w:r>
        <w:r w:rsidR="001444AD">
          <w:rPr>
            <w:noProof/>
          </w:rPr>
          <w:t>74</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78788"/>
      <w:docPartObj>
        <w:docPartGallery w:val="Page Numbers (Bottom of Page)"/>
        <w:docPartUnique/>
      </w:docPartObj>
    </w:sdtPr>
    <w:sdtEndPr/>
    <w:sdtContent>
      <w:p w:rsidR="00461B09" w:rsidRDefault="00461B09">
        <w:pPr>
          <w:pStyle w:val="ac"/>
          <w:jc w:val="right"/>
        </w:pPr>
        <w:r>
          <w:fldChar w:fldCharType="begin"/>
        </w:r>
        <w:r>
          <w:instrText>PAGE   \* MERGEFORMAT</w:instrText>
        </w:r>
        <w:r>
          <w:fldChar w:fldCharType="separate"/>
        </w:r>
        <w:r w:rsidR="001444AD">
          <w:rPr>
            <w:noProof/>
          </w:rPr>
          <w:t>78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B09" w:rsidRDefault="00461B09" w:rsidP="000031B1">
      <w:r>
        <w:separator/>
      </w:r>
    </w:p>
  </w:footnote>
  <w:footnote w:type="continuationSeparator" w:id="0">
    <w:p w:rsidR="00461B09" w:rsidRDefault="00461B09" w:rsidP="000031B1">
      <w:r>
        <w:continuationSeparator/>
      </w:r>
    </w:p>
  </w:footnote>
  <w:footnote w:id="1">
    <w:p w:rsidR="00461B09" w:rsidRPr="00F01FF2" w:rsidRDefault="00461B09" w:rsidP="00C773D3">
      <w:pPr>
        <w:pStyle w:val="a7"/>
        <w:rPr>
          <w:lang w:val="en-US"/>
        </w:rPr>
      </w:pPr>
      <w:r>
        <w:rPr>
          <w:rStyle w:val="a9"/>
        </w:rPr>
        <w:footnoteRef/>
      </w:r>
      <w:r>
        <w:t xml:space="preserve"> </w:t>
      </w:r>
      <w:r w:rsidRPr="00F01FF2">
        <w:rPr>
          <w:lang w:val="en-US"/>
        </w:rPr>
        <w:t>Including account of shuttle trade w</w:t>
      </w:r>
      <w:r>
        <w:rPr>
          <w:lang w:val="en-US"/>
        </w:rPr>
        <w:t>hich calculated on the basis of</w:t>
      </w:r>
      <w:r w:rsidRPr="00F01FF2">
        <w:rPr>
          <w:lang w:val="en-US"/>
        </w:rPr>
        <w:t xml:space="preserve"> a survey at border posts, and products </w:t>
      </w:r>
      <w:r>
        <w:rPr>
          <w:lang w:val="uz-Cyrl-UZ"/>
        </w:rPr>
        <w:t>(</w:t>
      </w:r>
      <w:r>
        <w:rPr>
          <w:lang w:val="en-US"/>
        </w:rPr>
        <w:t>jet fuel, etc.</w:t>
      </w:r>
      <w:r>
        <w:rPr>
          <w:lang w:val="uz-Cyrl-UZ"/>
        </w:rPr>
        <w:t xml:space="preserve">) </w:t>
      </w:r>
      <w:r w:rsidRPr="00F01FF2">
        <w:rPr>
          <w:lang w:val="en-US"/>
        </w:rPr>
        <w:t>purchased a</w:t>
      </w:r>
      <w:r>
        <w:rPr>
          <w:lang w:val="en-US"/>
        </w:rPr>
        <w:t>t airports by foreign airplanes</w:t>
      </w:r>
    </w:p>
  </w:footnote>
  <w:footnote w:id="2">
    <w:p w:rsidR="00461B09" w:rsidRPr="0029212E" w:rsidRDefault="00461B09">
      <w:pPr>
        <w:pStyle w:val="a7"/>
      </w:pPr>
      <w:r>
        <w:rPr>
          <w:rStyle w:val="a9"/>
        </w:rPr>
        <w:footnoteRef/>
      </w:r>
      <w:r>
        <w:t xml:space="preserve"> </w:t>
      </w:r>
      <w:r>
        <w:rPr>
          <w:lang w:val="en-US"/>
        </w:rPr>
        <w:t>Data on direct investment is compiled according to BPM6. IMF, 2009.</w:t>
      </w:r>
    </w:p>
  </w:footnote>
  <w:footnote w:id="3">
    <w:p w:rsidR="00461B09" w:rsidRPr="00465C73" w:rsidRDefault="00461B09" w:rsidP="00402DA8">
      <w:pPr>
        <w:pStyle w:val="a7"/>
        <w:jc w:val="both"/>
        <w:rPr>
          <w:rFonts w:cs="Calibri"/>
          <w:lang w:val="en-US"/>
        </w:rPr>
      </w:pPr>
      <w:r w:rsidRPr="00465C73">
        <w:rPr>
          <w:rStyle w:val="a9"/>
          <w:rFonts w:cs="Calibri"/>
        </w:rPr>
        <w:footnoteRef/>
      </w:r>
      <w:r w:rsidRPr="005E6C6F">
        <w:rPr>
          <w:rFonts w:cs="Calibri"/>
          <w:lang w:val="en-US"/>
        </w:rPr>
        <w:t xml:space="preserve"> Non-operational changes consist of exchange rate, price and other changes that are not included in the financial account as </w:t>
      </w:r>
      <w:r w:rsidRPr="00465C73">
        <w:rPr>
          <w:rFonts w:cs="Calibri"/>
          <w:lang w:val="en-US"/>
        </w:rPr>
        <w:t>operations.</w:t>
      </w:r>
    </w:p>
  </w:footnote>
  <w:footnote w:id="4">
    <w:p w:rsidR="00461B09" w:rsidRPr="005E6C6F" w:rsidRDefault="00461B09" w:rsidP="001C758D">
      <w:pPr>
        <w:pStyle w:val="a7"/>
        <w:jc w:val="both"/>
        <w:rPr>
          <w:rFonts w:cs="Calibri"/>
          <w:lang w:val="en-US"/>
        </w:rPr>
      </w:pPr>
      <w:r w:rsidRPr="00465C73">
        <w:rPr>
          <w:rStyle w:val="a9"/>
          <w:rFonts w:cs="Calibri"/>
        </w:rPr>
        <w:footnoteRef/>
      </w:r>
      <w:r w:rsidRPr="005E6C6F">
        <w:rPr>
          <w:rFonts w:cs="Calibri"/>
          <w:lang w:val="en-US"/>
        </w:rPr>
        <w:t xml:space="preserve"> The </w:t>
      </w:r>
      <w:r w:rsidRPr="00465C73">
        <w:rPr>
          <w:rFonts w:cs="Calibri"/>
          <w:lang w:val="en-US"/>
        </w:rPr>
        <w:t>general government</w:t>
      </w:r>
      <w:r w:rsidRPr="005E6C6F">
        <w:rPr>
          <w:rFonts w:cs="Calibri"/>
          <w:lang w:val="en-US"/>
        </w:rPr>
        <w:t xml:space="preserve"> sector includes ministries and </w:t>
      </w:r>
      <w:r w:rsidRPr="00465C73">
        <w:rPr>
          <w:rFonts w:cs="Calibri"/>
          <w:lang w:val="en-US"/>
        </w:rPr>
        <w:t>institutions</w:t>
      </w:r>
      <w:r w:rsidRPr="005E6C6F">
        <w:rPr>
          <w:rFonts w:cs="Calibri"/>
          <w:lang w:val="en-US"/>
        </w:rPr>
        <w:t xml:space="preserve"> of </w:t>
      </w:r>
      <w:r w:rsidRPr="00465C73">
        <w:rPr>
          <w:rFonts w:cs="Calibri"/>
          <w:lang w:val="en-US"/>
        </w:rPr>
        <w:t>general government</w:t>
      </w:r>
      <w:r w:rsidRPr="005E6C6F">
        <w:rPr>
          <w:rFonts w:cs="Calibri"/>
          <w:lang w:val="en-US"/>
        </w:rPr>
        <w:t>, as well as the Central Bank. The banking sector includes all commercial banks</w:t>
      </w:r>
    </w:p>
  </w:footnote>
  <w:footnote w:id="5">
    <w:p w:rsidR="00461B09" w:rsidRPr="005E6C6F" w:rsidRDefault="00461B09" w:rsidP="001C758D">
      <w:pPr>
        <w:pStyle w:val="a7"/>
        <w:jc w:val="both"/>
        <w:rPr>
          <w:lang w:val="en-US"/>
        </w:rPr>
      </w:pPr>
      <w:r w:rsidRPr="00465C73">
        <w:rPr>
          <w:rStyle w:val="a9"/>
          <w:rFonts w:cs="Calibri"/>
        </w:rPr>
        <w:footnoteRef/>
      </w:r>
      <w:r w:rsidRPr="005E6C6F">
        <w:rPr>
          <w:rFonts w:cs="Calibri"/>
          <w:lang w:val="en-US"/>
        </w:rPr>
        <w:t> Net creditor - assets of the sector in question exceed</w:t>
      </w:r>
      <w:r w:rsidRPr="00465C73">
        <w:rPr>
          <w:rFonts w:cs="Calibri"/>
          <w:lang w:val="en-US"/>
        </w:rPr>
        <w:t xml:space="preserve"> its</w:t>
      </w:r>
      <w:r w:rsidRPr="005E6C6F">
        <w:rPr>
          <w:rFonts w:cs="Calibri"/>
          <w:lang w:val="en-US"/>
        </w:rPr>
        <w:t xml:space="preserve"> liabilities; Net borrower - liabilities of the sector under consideration exceed</w:t>
      </w:r>
      <w:r w:rsidRPr="00465C73">
        <w:rPr>
          <w:rFonts w:cs="Calibri"/>
          <w:lang w:val="en-US"/>
        </w:rPr>
        <w:t xml:space="preserve"> its</w:t>
      </w:r>
      <w:r w:rsidRPr="005E6C6F">
        <w:rPr>
          <w:rFonts w:cs="Calibri"/>
          <w:lang w:val="en-US"/>
        </w:rPr>
        <w:t xml:space="preserve"> assets</w:t>
      </w:r>
    </w:p>
  </w:footnote>
  <w:footnote w:id="6">
    <w:p w:rsidR="00461B09" w:rsidRPr="00E0203A" w:rsidRDefault="00461B09" w:rsidP="000B1296">
      <w:pPr>
        <w:pStyle w:val="a7"/>
        <w:jc w:val="both"/>
        <w:rPr>
          <w:rFonts w:cs="Calibri"/>
          <w:lang w:val="en-US"/>
        </w:rPr>
      </w:pPr>
      <w:r>
        <w:rPr>
          <w:rStyle w:val="a9"/>
        </w:rPr>
        <w:footnoteRef/>
      </w:r>
      <w:r w:rsidRPr="00E0203A">
        <w:rPr>
          <w:lang w:val="en-US"/>
        </w:rPr>
        <w:t> </w:t>
      </w:r>
      <w:r>
        <w:rPr>
          <w:rFonts w:cs="Calibri"/>
          <w:lang w:val="en-US"/>
        </w:rPr>
        <w:t xml:space="preserve">Receipts </w:t>
      </w:r>
      <w:r w:rsidRPr="00350CA1">
        <w:rPr>
          <w:rFonts w:cs="Calibri"/>
          <w:lang w:val="en-US"/>
        </w:rPr>
        <w:t xml:space="preserve">from foreign investors under the PSA are estimated as an inflow of foreign investment and are recorded as </w:t>
      </w:r>
      <w:r w:rsidRPr="001739DD">
        <w:rPr>
          <w:rFonts w:cs="Calibri"/>
          <w:lang w:val="en-US"/>
        </w:rPr>
        <w:t>direct investment. The above funds</w:t>
      </w:r>
      <w:r w:rsidRPr="00E0203A">
        <w:rPr>
          <w:lang w:val="en-US"/>
        </w:rPr>
        <w:t xml:space="preserve"> </w:t>
      </w:r>
      <w:r>
        <w:rPr>
          <w:rFonts w:cs="Calibri"/>
          <w:lang w:val="en-US"/>
        </w:rPr>
        <w:t>have been</w:t>
      </w:r>
      <w:r w:rsidRPr="000C788E">
        <w:rPr>
          <w:rFonts w:cs="Calibri"/>
          <w:lang w:val="en-US"/>
        </w:rPr>
        <w:t xml:space="preserve"> received to special account of PSA operator </w:t>
      </w:r>
      <w:r w:rsidRPr="001739DD">
        <w:rPr>
          <w:rFonts w:cs="Calibri"/>
          <w:lang w:val="en-US"/>
        </w:rPr>
        <w:t>opened abroad as part of the project.</w:t>
      </w:r>
    </w:p>
  </w:footnote>
  <w:footnote w:id="7">
    <w:p w:rsidR="00461B09" w:rsidRPr="00E52D82" w:rsidRDefault="00461B09" w:rsidP="00591EBA">
      <w:pPr>
        <w:pStyle w:val="a7"/>
        <w:jc w:val="both"/>
        <w:rPr>
          <w:lang w:val="en-US"/>
        </w:rPr>
      </w:pPr>
      <w:r w:rsidRPr="001739DD">
        <w:rPr>
          <w:rStyle w:val="a9"/>
          <w:rFonts w:cs="Calibri"/>
        </w:rPr>
        <w:footnoteRef/>
      </w:r>
      <w:r w:rsidRPr="00E52D82">
        <w:rPr>
          <w:rFonts w:cs="Calibri"/>
          <w:lang w:val="en-US"/>
        </w:rPr>
        <w:t> </w:t>
      </w:r>
      <w:r w:rsidRPr="001739DD">
        <w:rPr>
          <w:rFonts w:cs="Calibri"/>
          <w:lang w:val="en-US"/>
        </w:rPr>
        <w:t xml:space="preserve">The data </w:t>
      </w:r>
      <w:r>
        <w:rPr>
          <w:rFonts w:cs="Calibri"/>
          <w:lang w:val="en-US"/>
        </w:rPr>
        <w:t>was</w:t>
      </w:r>
      <w:r w:rsidRPr="001739DD">
        <w:rPr>
          <w:rFonts w:cs="Calibri"/>
          <w:lang w:val="en-US"/>
        </w:rPr>
        <w:t xml:space="preserve"> revised </w:t>
      </w:r>
      <w:r>
        <w:rPr>
          <w:rFonts w:cs="Calibri"/>
          <w:lang w:val="en-US"/>
        </w:rPr>
        <w:t>based on</w:t>
      </w:r>
      <w:r w:rsidRPr="001739DD">
        <w:rPr>
          <w:rFonts w:cs="Calibri"/>
          <w:lang w:val="en-US"/>
        </w:rPr>
        <w:t xml:space="preserve"> updated information from the State Committee of the Republic of Uzbekistan on Statistics and PSA operators.</w:t>
      </w:r>
    </w:p>
  </w:footnote>
  <w:footnote w:id="8">
    <w:p w:rsidR="00461B09" w:rsidRPr="000D2A6C" w:rsidRDefault="00461B09" w:rsidP="00D271D8">
      <w:pPr>
        <w:pStyle w:val="a7"/>
        <w:jc w:val="both"/>
        <w:rPr>
          <w:lang w:val="en-US"/>
        </w:rPr>
      </w:pPr>
      <w:r w:rsidRPr="001E0A02">
        <w:rPr>
          <w:rStyle w:val="a9"/>
        </w:rPr>
        <w:footnoteRef/>
      </w:r>
      <w:r w:rsidRPr="001E0A02">
        <w:rPr>
          <w:lang w:val="en-US"/>
        </w:rPr>
        <w:t> </w:t>
      </w:r>
      <w:r w:rsidRPr="00CF6748">
        <w:rPr>
          <w:rFonts w:cs="Calibri"/>
        </w:rPr>
        <w:t>At the beginning of 2018, the methodology for calculating external debt was revised, and starting from 2018, when calculating the debt on foreign borrowings, accrued but unpaid inter</w:t>
      </w:r>
      <w:r>
        <w:rPr>
          <w:rFonts w:cs="Calibri"/>
        </w:rPr>
        <w:t>est is also taken into account</w:t>
      </w:r>
      <w:r>
        <w:rPr>
          <w:rFonts w:cs="Calibri"/>
          <w:lang w:val="en-US"/>
        </w:rPr>
        <w:t>.</w:t>
      </w:r>
      <w:r>
        <w:rPr>
          <w:rFonts w:cs="Calibri"/>
        </w:rPr>
        <w:t xml:space="preserve"> </w:t>
      </w:r>
    </w:p>
  </w:footnote>
  <w:footnote w:id="9">
    <w:p w:rsidR="00461B09" w:rsidRPr="00CF6748" w:rsidRDefault="00461B09" w:rsidP="007D7C71">
      <w:pPr>
        <w:pStyle w:val="a7"/>
        <w:rPr>
          <w:rFonts w:cs="Calibri"/>
        </w:rPr>
      </w:pPr>
      <w:r w:rsidRPr="00CF6748">
        <w:rPr>
          <w:rStyle w:val="a9"/>
          <w:rFonts w:cs="Calibri"/>
        </w:rPr>
        <w:footnoteRef/>
      </w:r>
      <w:r w:rsidRPr="00CF6748">
        <w:rPr>
          <w:rFonts w:cs="Calibri"/>
          <w:lang w:val="en-US"/>
        </w:rPr>
        <w:t xml:space="preserve"> </w:t>
      </w:r>
      <w:r w:rsidRPr="00CF6748">
        <w:rPr>
          <w:rFonts w:cs="Calibri"/>
        </w:rPr>
        <w:t>Total external debt includes debt provided by parent companies.</w:t>
      </w:r>
    </w:p>
  </w:footnote>
  <w:footnote w:id="10">
    <w:p w:rsidR="00461B09" w:rsidRPr="000D2A6C" w:rsidRDefault="00461B09" w:rsidP="00D271D8">
      <w:pPr>
        <w:pStyle w:val="a7"/>
        <w:jc w:val="both"/>
        <w:rPr>
          <w:rFonts w:cs="Arial"/>
          <w:lang w:val="en-US"/>
        </w:rPr>
      </w:pPr>
      <w:r w:rsidRPr="00CF6748">
        <w:rPr>
          <w:rStyle w:val="a9"/>
          <w:rFonts w:cs="Calibri"/>
        </w:rPr>
        <w:footnoteRef/>
      </w:r>
      <w:r w:rsidRPr="00CF6748">
        <w:rPr>
          <w:rFonts w:cs="Calibri"/>
          <w:lang w:val="en-US"/>
        </w:rPr>
        <w:t> </w:t>
      </w:r>
      <w:r w:rsidRPr="00CF6748">
        <w:rPr>
          <w:rFonts w:cs="Calibri"/>
        </w:rPr>
        <w:t>Government external debt is composed of debt raised by government and debt received against guarantee of government. Private external debt is composed of external borrowings of business entities including government enterprises, which are not guaranteed by government.</w:t>
      </w:r>
      <w:r>
        <w:rPr>
          <w:rFonts w:cs="Calibri"/>
          <w:lang w:val="en-US"/>
        </w:rPr>
        <w:t xml:space="preserve"> </w:t>
      </w:r>
    </w:p>
  </w:footnote>
  <w:footnote w:id="11">
    <w:p w:rsidR="00461B09" w:rsidRPr="00497BD9" w:rsidRDefault="00461B09" w:rsidP="00497BD9">
      <w:pPr>
        <w:pStyle w:val="a7"/>
      </w:pPr>
      <w:r w:rsidRPr="001E0A02">
        <w:rPr>
          <w:rStyle w:val="a9"/>
        </w:rPr>
        <w:footnoteRef/>
      </w:r>
      <w:r w:rsidRPr="001E0A02">
        <w:t xml:space="preserve"> </w:t>
      </w:r>
      <w:r w:rsidRPr="00497BD9">
        <w:t>External debt is divided based on initial term of borrowings maturity</w:t>
      </w:r>
    </w:p>
  </w:footnote>
  <w:footnote w:id="12">
    <w:p w:rsidR="00461B09" w:rsidRPr="00BA1CA0" w:rsidRDefault="00461B09" w:rsidP="00FE35E9">
      <w:pPr>
        <w:pStyle w:val="a7"/>
        <w:rPr>
          <w:sz w:val="16"/>
          <w:szCs w:val="16"/>
          <w:lang w:val="en-US"/>
        </w:rPr>
      </w:pPr>
      <w:r>
        <w:rPr>
          <w:rStyle w:val="a9"/>
        </w:rPr>
        <w:footnoteRef/>
      </w:r>
      <w:r>
        <w:t xml:space="preserve"> </w:t>
      </w:r>
      <w:r>
        <w:rPr>
          <w:sz w:val="16"/>
          <w:szCs w:val="16"/>
          <w:lang w:val="en-US"/>
        </w:rPr>
        <w:t>Information</w:t>
      </w:r>
      <w:r w:rsidRPr="004338D4">
        <w:rPr>
          <w:sz w:val="16"/>
          <w:szCs w:val="16"/>
          <w:lang w:val="en-US"/>
        </w:rPr>
        <w:t xml:space="preserve"> </w:t>
      </w:r>
      <w:r>
        <w:rPr>
          <w:sz w:val="16"/>
          <w:szCs w:val="16"/>
          <w:lang w:val="en-US"/>
        </w:rPr>
        <w:t>about</w:t>
      </w:r>
      <w:r w:rsidRPr="004338D4">
        <w:rPr>
          <w:sz w:val="16"/>
          <w:szCs w:val="16"/>
          <w:lang w:val="en-US"/>
        </w:rPr>
        <w:t xml:space="preserve"> </w:t>
      </w:r>
      <w:r>
        <w:rPr>
          <w:sz w:val="16"/>
          <w:szCs w:val="16"/>
          <w:lang w:val="en-US"/>
        </w:rPr>
        <w:t>gross</w:t>
      </w:r>
      <w:r w:rsidRPr="004338D4">
        <w:rPr>
          <w:sz w:val="16"/>
          <w:szCs w:val="16"/>
          <w:lang w:val="en-US"/>
        </w:rPr>
        <w:t xml:space="preserve"> </w:t>
      </w:r>
      <w:r>
        <w:rPr>
          <w:sz w:val="16"/>
          <w:szCs w:val="16"/>
          <w:lang w:val="en-US"/>
        </w:rPr>
        <w:t>external</w:t>
      </w:r>
      <w:r w:rsidRPr="004338D4">
        <w:rPr>
          <w:sz w:val="16"/>
          <w:szCs w:val="16"/>
          <w:lang w:val="en-US"/>
        </w:rPr>
        <w:t xml:space="preserve"> </w:t>
      </w:r>
      <w:r>
        <w:rPr>
          <w:sz w:val="16"/>
          <w:szCs w:val="16"/>
          <w:lang w:val="en-US"/>
        </w:rPr>
        <w:t>debt</w:t>
      </w:r>
      <w:r w:rsidRPr="004338D4">
        <w:rPr>
          <w:sz w:val="16"/>
          <w:szCs w:val="16"/>
          <w:lang w:val="en-US"/>
        </w:rPr>
        <w:t xml:space="preserve"> </w:t>
      </w:r>
      <w:r>
        <w:rPr>
          <w:sz w:val="16"/>
          <w:szCs w:val="16"/>
          <w:lang w:val="en-US"/>
        </w:rPr>
        <w:t>shows</w:t>
      </w:r>
      <w:r w:rsidRPr="004338D4">
        <w:rPr>
          <w:sz w:val="16"/>
          <w:szCs w:val="16"/>
          <w:lang w:val="en-US"/>
        </w:rPr>
        <w:t xml:space="preserve"> </w:t>
      </w:r>
      <w:r>
        <w:rPr>
          <w:sz w:val="16"/>
          <w:szCs w:val="16"/>
          <w:lang w:val="en-US"/>
        </w:rPr>
        <w:t>according</w:t>
      </w:r>
      <w:r w:rsidRPr="004338D4">
        <w:rPr>
          <w:sz w:val="16"/>
          <w:szCs w:val="16"/>
          <w:lang w:val="en-US"/>
        </w:rPr>
        <w:t xml:space="preserve"> </w:t>
      </w:r>
      <w:r>
        <w:rPr>
          <w:sz w:val="16"/>
          <w:szCs w:val="16"/>
          <w:lang w:val="en-US"/>
        </w:rPr>
        <w:t>to</w:t>
      </w:r>
      <w:r w:rsidRPr="004338D4">
        <w:rPr>
          <w:sz w:val="16"/>
          <w:szCs w:val="16"/>
          <w:lang w:val="en-US"/>
        </w:rPr>
        <w:t xml:space="preserve"> </w:t>
      </w:r>
      <w:r>
        <w:rPr>
          <w:sz w:val="16"/>
          <w:szCs w:val="16"/>
          <w:lang w:val="en-US"/>
        </w:rPr>
        <w:t>external debt statistics manual of IMF from 2013 sector</w:t>
      </w:r>
      <w:r w:rsidRPr="004338D4">
        <w:rPr>
          <w:sz w:val="16"/>
          <w:szCs w:val="16"/>
          <w:lang w:val="en-US"/>
        </w:rPr>
        <w:t xml:space="preserve"> 4 «</w:t>
      </w:r>
      <w:r>
        <w:rPr>
          <w:sz w:val="16"/>
          <w:szCs w:val="16"/>
          <w:lang w:val="en-US"/>
        </w:rPr>
        <w:t>Compiling data</w:t>
      </w:r>
      <w:r w:rsidRPr="004338D4">
        <w:rPr>
          <w:sz w:val="16"/>
          <w:szCs w:val="16"/>
          <w:lang w:val="en-US"/>
        </w:rPr>
        <w:t xml:space="preserve"> </w:t>
      </w:r>
      <w:r>
        <w:rPr>
          <w:sz w:val="16"/>
          <w:szCs w:val="16"/>
          <w:lang w:val="en-US"/>
        </w:rPr>
        <w:t xml:space="preserve">of external </w:t>
      </w:r>
      <w:r w:rsidRPr="00BA1CA0">
        <w:rPr>
          <w:sz w:val="16"/>
          <w:szCs w:val="16"/>
          <w:lang w:val="en-US"/>
        </w:rPr>
        <w:t>debt».</w:t>
      </w:r>
    </w:p>
  </w:footnote>
  <w:footnote w:id="13">
    <w:p w:rsidR="00461B09" w:rsidRPr="00BA1CA0" w:rsidRDefault="00461B09" w:rsidP="00FE35E9">
      <w:pPr>
        <w:pStyle w:val="a7"/>
        <w:rPr>
          <w:lang w:val="en-US"/>
        </w:rPr>
      </w:pPr>
      <w:r w:rsidRPr="00BA1CA0">
        <w:rPr>
          <w:rStyle w:val="a9"/>
          <w:sz w:val="16"/>
          <w:szCs w:val="16"/>
        </w:rPr>
        <w:footnoteRef/>
      </w:r>
      <w:r w:rsidRPr="00BA1CA0">
        <w:rPr>
          <w:sz w:val="16"/>
          <w:szCs w:val="16"/>
        </w:rPr>
        <w:t xml:space="preserve"> </w:t>
      </w:r>
      <w:r w:rsidRPr="00BA1CA0">
        <w:rPr>
          <w:sz w:val="16"/>
          <w:szCs w:val="16"/>
          <w:lang w:val="en-US"/>
        </w:rPr>
        <w:t>SDR allocations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B09" w:rsidRPr="00995B2E" w:rsidRDefault="00461B09" w:rsidP="00995B2E">
    <w:pPr>
      <w:pStyle w:val="aa"/>
      <w:pBdr>
        <w:bottom w:val="single" w:sz="4" w:space="1" w:color="auto"/>
      </w:pBdr>
      <w:jc w:val="right"/>
      <w:rPr>
        <w:i/>
      </w:rPr>
    </w:pPr>
    <w:r>
      <w:rPr>
        <w:i/>
      </w:rPr>
      <w:t>CENTRAL BANK OF UZBEKISTAN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B09" w:rsidRPr="005551C0" w:rsidRDefault="00461B09" w:rsidP="00F13126">
    <w:pPr>
      <w:pStyle w:val="aa"/>
      <w:pBdr>
        <w:bottom w:val="single" w:sz="4" w:space="1" w:color="auto"/>
      </w:pBdr>
      <w:jc w:val="right"/>
      <w:rPr>
        <w:i/>
      </w:rPr>
    </w:pPr>
    <w:r>
      <w:rPr>
        <w:i/>
      </w:rPr>
      <w:t>CENTRAL BANK OF UZBEKISTAN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3D1476"/>
    <w:multiLevelType w:val="hybridMultilevel"/>
    <w:tmpl w:val="56A0BC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8"/>
  </w:num>
  <w:num w:numId="14">
    <w:abstractNumId w:val="3"/>
  </w:num>
  <w:num w:numId="15">
    <w:abstractNumId w:val="2"/>
  </w:num>
  <w:num w:numId="16">
    <w:abstractNumId w:val="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en-US" w:vendorID="64" w:dllVersion="131078" w:nlCheck="1" w:checkStyle="0"/>
  <w:activeWritingStyle w:appName="MSWord" w:lang="ru-RU" w:vendorID="64" w:dllVersion="131078" w:nlCheck="1" w:checkStyle="0"/>
  <w:defaultTabStop w:val="708"/>
  <w:drawingGridHorizontalSpacing w:val="110"/>
  <w:displayHorizontalDrawingGridEvery w:val="2"/>
  <w:characterSpacingControl w:val="doNotCompress"/>
  <w:hdrShapeDefaults>
    <o:shapedefaults v:ext="edit" spidmax="6145"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311"/>
    <w:rsid w:val="00000905"/>
    <w:rsid w:val="00000988"/>
    <w:rsid w:val="00001505"/>
    <w:rsid w:val="00001722"/>
    <w:rsid w:val="00002465"/>
    <w:rsid w:val="00002ACB"/>
    <w:rsid w:val="000031B1"/>
    <w:rsid w:val="00003E6F"/>
    <w:rsid w:val="00003F8E"/>
    <w:rsid w:val="0000491C"/>
    <w:rsid w:val="00004AF2"/>
    <w:rsid w:val="0000525A"/>
    <w:rsid w:val="000054C8"/>
    <w:rsid w:val="00005957"/>
    <w:rsid w:val="00006668"/>
    <w:rsid w:val="00006A29"/>
    <w:rsid w:val="000070A3"/>
    <w:rsid w:val="00007945"/>
    <w:rsid w:val="00007F85"/>
    <w:rsid w:val="00010C81"/>
    <w:rsid w:val="00011222"/>
    <w:rsid w:val="00011530"/>
    <w:rsid w:val="000117FC"/>
    <w:rsid w:val="00011AB8"/>
    <w:rsid w:val="000126C1"/>
    <w:rsid w:val="00012729"/>
    <w:rsid w:val="000127DD"/>
    <w:rsid w:val="00013257"/>
    <w:rsid w:val="000132F5"/>
    <w:rsid w:val="0001498B"/>
    <w:rsid w:val="00014D66"/>
    <w:rsid w:val="0001532B"/>
    <w:rsid w:val="0001545F"/>
    <w:rsid w:val="00015587"/>
    <w:rsid w:val="000161BB"/>
    <w:rsid w:val="0001634A"/>
    <w:rsid w:val="0001653E"/>
    <w:rsid w:val="00016AF1"/>
    <w:rsid w:val="00016EC6"/>
    <w:rsid w:val="0002059F"/>
    <w:rsid w:val="00020662"/>
    <w:rsid w:val="00021003"/>
    <w:rsid w:val="00021CC9"/>
    <w:rsid w:val="00021EA2"/>
    <w:rsid w:val="000221B9"/>
    <w:rsid w:val="00022479"/>
    <w:rsid w:val="0002252F"/>
    <w:rsid w:val="00022F49"/>
    <w:rsid w:val="00023D9F"/>
    <w:rsid w:val="00023EEB"/>
    <w:rsid w:val="0002404D"/>
    <w:rsid w:val="00024076"/>
    <w:rsid w:val="00024AEC"/>
    <w:rsid w:val="00024C49"/>
    <w:rsid w:val="00024D3A"/>
    <w:rsid w:val="00024F47"/>
    <w:rsid w:val="00025F71"/>
    <w:rsid w:val="00025FD9"/>
    <w:rsid w:val="000270FE"/>
    <w:rsid w:val="0002745D"/>
    <w:rsid w:val="0002749F"/>
    <w:rsid w:val="000275A5"/>
    <w:rsid w:val="000275BF"/>
    <w:rsid w:val="000275C0"/>
    <w:rsid w:val="00027BA4"/>
    <w:rsid w:val="00027FCD"/>
    <w:rsid w:val="000303BB"/>
    <w:rsid w:val="00030C7D"/>
    <w:rsid w:val="00031029"/>
    <w:rsid w:val="00031783"/>
    <w:rsid w:val="000320B2"/>
    <w:rsid w:val="00032BF7"/>
    <w:rsid w:val="0003313B"/>
    <w:rsid w:val="00033280"/>
    <w:rsid w:val="00033837"/>
    <w:rsid w:val="00033DF3"/>
    <w:rsid w:val="000342F9"/>
    <w:rsid w:val="00034895"/>
    <w:rsid w:val="00034B8C"/>
    <w:rsid w:val="00035527"/>
    <w:rsid w:val="00035BB7"/>
    <w:rsid w:val="00035F8D"/>
    <w:rsid w:val="000364F0"/>
    <w:rsid w:val="000366DF"/>
    <w:rsid w:val="000370DB"/>
    <w:rsid w:val="00037233"/>
    <w:rsid w:val="0003744F"/>
    <w:rsid w:val="00037555"/>
    <w:rsid w:val="00040DA5"/>
    <w:rsid w:val="000412DD"/>
    <w:rsid w:val="00041BA6"/>
    <w:rsid w:val="00042AE6"/>
    <w:rsid w:val="00043411"/>
    <w:rsid w:val="00043C48"/>
    <w:rsid w:val="00043E99"/>
    <w:rsid w:val="00044653"/>
    <w:rsid w:val="00045166"/>
    <w:rsid w:val="0004547E"/>
    <w:rsid w:val="00045679"/>
    <w:rsid w:val="00045917"/>
    <w:rsid w:val="000464BA"/>
    <w:rsid w:val="00046E9D"/>
    <w:rsid w:val="00046EBB"/>
    <w:rsid w:val="00046F5A"/>
    <w:rsid w:val="000471BF"/>
    <w:rsid w:val="000472D3"/>
    <w:rsid w:val="00047B03"/>
    <w:rsid w:val="00050467"/>
    <w:rsid w:val="00050676"/>
    <w:rsid w:val="000508CF"/>
    <w:rsid w:val="00050D1B"/>
    <w:rsid w:val="00050D60"/>
    <w:rsid w:val="00052E3D"/>
    <w:rsid w:val="00053C76"/>
    <w:rsid w:val="0005454A"/>
    <w:rsid w:val="000546AB"/>
    <w:rsid w:val="0005497F"/>
    <w:rsid w:val="00054B4A"/>
    <w:rsid w:val="00054E4E"/>
    <w:rsid w:val="00055549"/>
    <w:rsid w:val="00055961"/>
    <w:rsid w:val="0005615B"/>
    <w:rsid w:val="000563A5"/>
    <w:rsid w:val="000570CD"/>
    <w:rsid w:val="00057100"/>
    <w:rsid w:val="000571E0"/>
    <w:rsid w:val="000572A6"/>
    <w:rsid w:val="000573AD"/>
    <w:rsid w:val="00057452"/>
    <w:rsid w:val="00057573"/>
    <w:rsid w:val="00057ECD"/>
    <w:rsid w:val="00057FA6"/>
    <w:rsid w:val="00060241"/>
    <w:rsid w:val="000609A8"/>
    <w:rsid w:val="00061F34"/>
    <w:rsid w:val="00062839"/>
    <w:rsid w:val="00062F9E"/>
    <w:rsid w:val="00063B25"/>
    <w:rsid w:val="00063E26"/>
    <w:rsid w:val="00065C05"/>
    <w:rsid w:val="00066081"/>
    <w:rsid w:val="0006630D"/>
    <w:rsid w:val="00066516"/>
    <w:rsid w:val="0006661B"/>
    <w:rsid w:val="000669BC"/>
    <w:rsid w:val="00067435"/>
    <w:rsid w:val="00067638"/>
    <w:rsid w:val="00067C77"/>
    <w:rsid w:val="000701F2"/>
    <w:rsid w:val="0007086D"/>
    <w:rsid w:val="00070A81"/>
    <w:rsid w:val="00071130"/>
    <w:rsid w:val="000714E4"/>
    <w:rsid w:val="00071816"/>
    <w:rsid w:val="00071D66"/>
    <w:rsid w:val="000728F1"/>
    <w:rsid w:val="00073890"/>
    <w:rsid w:val="00073B13"/>
    <w:rsid w:val="00074BF3"/>
    <w:rsid w:val="00074F94"/>
    <w:rsid w:val="0007544F"/>
    <w:rsid w:val="00076530"/>
    <w:rsid w:val="000777CC"/>
    <w:rsid w:val="00077867"/>
    <w:rsid w:val="00077DB2"/>
    <w:rsid w:val="00077DFC"/>
    <w:rsid w:val="000801D6"/>
    <w:rsid w:val="00080A0C"/>
    <w:rsid w:val="000810C5"/>
    <w:rsid w:val="0008110B"/>
    <w:rsid w:val="000822E0"/>
    <w:rsid w:val="0008296D"/>
    <w:rsid w:val="00082A9E"/>
    <w:rsid w:val="00082C75"/>
    <w:rsid w:val="00082D3D"/>
    <w:rsid w:val="00083E2A"/>
    <w:rsid w:val="00084219"/>
    <w:rsid w:val="00084641"/>
    <w:rsid w:val="000848FA"/>
    <w:rsid w:val="00084A80"/>
    <w:rsid w:val="00085094"/>
    <w:rsid w:val="000852E8"/>
    <w:rsid w:val="00085844"/>
    <w:rsid w:val="00085ACB"/>
    <w:rsid w:val="00085D97"/>
    <w:rsid w:val="0008672F"/>
    <w:rsid w:val="00086BAA"/>
    <w:rsid w:val="00086D6D"/>
    <w:rsid w:val="000870A9"/>
    <w:rsid w:val="00087A9C"/>
    <w:rsid w:val="00087F07"/>
    <w:rsid w:val="00087F80"/>
    <w:rsid w:val="0009072D"/>
    <w:rsid w:val="00090BD2"/>
    <w:rsid w:val="00090C60"/>
    <w:rsid w:val="00091136"/>
    <w:rsid w:val="0009150A"/>
    <w:rsid w:val="00091EEC"/>
    <w:rsid w:val="0009200C"/>
    <w:rsid w:val="00092981"/>
    <w:rsid w:val="00092BDC"/>
    <w:rsid w:val="0009355E"/>
    <w:rsid w:val="00093B53"/>
    <w:rsid w:val="00094EC9"/>
    <w:rsid w:val="000954D9"/>
    <w:rsid w:val="00095CD1"/>
    <w:rsid w:val="00095CDD"/>
    <w:rsid w:val="00096B40"/>
    <w:rsid w:val="00096F9A"/>
    <w:rsid w:val="00097026"/>
    <w:rsid w:val="00097A78"/>
    <w:rsid w:val="00097BE9"/>
    <w:rsid w:val="000A0671"/>
    <w:rsid w:val="000A0978"/>
    <w:rsid w:val="000A1751"/>
    <w:rsid w:val="000A1C43"/>
    <w:rsid w:val="000A2250"/>
    <w:rsid w:val="000A2DF8"/>
    <w:rsid w:val="000A37D2"/>
    <w:rsid w:val="000A3F32"/>
    <w:rsid w:val="000A4E69"/>
    <w:rsid w:val="000A546A"/>
    <w:rsid w:val="000A5700"/>
    <w:rsid w:val="000A5A05"/>
    <w:rsid w:val="000A5EC2"/>
    <w:rsid w:val="000A5F5B"/>
    <w:rsid w:val="000A62A2"/>
    <w:rsid w:val="000A719C"/>
    <w:rsid w:val="000A75F9"/>
    <w:rsid w:val="000A7E25"/>
    <w:rsid w:val="000A7FB7"/>
    <w:rsid w:val="000B07A2"/>
    <w:rsid w:val="000B1296"/>
    <w:rsid w:val="000B16C5"/>
    <w:rsid w:val="000B1C26"/>
    <w:rsid w:val="000B1DD6"/>
    <w:rsid w:val="000B2057"/>
    <w:rsid w:val="000B2152"/>
    <w:rsid w:val="000B2210"/>
    <w:rsid w:val="000B2237"/>
    <w:rsid w:val="000B2509"/>
    <w:rsid w:val="000B2AAC"/>
    <w:rsid w:val="000B3859"/>
    <w:rsid w:val="000B46A8"/>
    <w:rsid w:val="000B4737"/>
    <w:rsid w:val="000B4E72"/>
    <w:rsid w:val="000B5D3C"/>
    <w:rsid w:val="000B6FF9"/>
    <w:rsid w:val="000B74C4"/>
    <w:rsid w:val="000B7608"/>
    <w:rsid w:val="000B766F"/>
    <w:rsid w:val="000B79F8"/>
    <w:rsid w:val="000B7A1A"/>
    <w:rsid w:val="000B7AB4"/>
    <w:rsid w:val="000C01AB"/>
    <w:rsid w:val="000C12FD"/>
    <w:rsid w:val="000C289F"/>
    <w:rsid w:val="000C2DFC"/>
    <w:rsid w:val="000C2F67"/>
    <w:rsid w:val="000C49DF"/>
    <w:rsid w:val="000C4ED7"/>
    <w:rsid w:val="000C594F"/>
    <w:rsid w:val="000C5E4E"/>
    <w:rsid w:val="000C60A4"/>
    <w:rsid w:val="000C6887"/>
    <w:rsid w:val="000C693B"/>
    <w:rsid w:val="000C6BBC"/>
    <w:rsid w:val="000C788E"/>
    <w:rsid w:val="000C7D92"/>
    <w:rsid w:val="000C7E5A"/>
    <w:rsid w:val="000D08E0"/>
    <w:rsid w:val="000D0F86"/>
    <w:rsid w:val="000D1BB7"/>
    <w:rsid w:val="000D227D"/>
    <w:rsid w:val="000D260A"/>
    <w:rsid w:val="000D2BAF"/>
    <w:rsid w:val="000D2F9E"/>
    <w:rsid w:val="000D37F2"/>
    <w:rsid w:val="000D43A7"/>
    <w:rsid w:val="000D46D0"/>
    <w:rsid w:val="000D47D3"/>
    <w:rsid w:val="000D4B5F"/>
    <w:rsid w:val="000D4E61"/>
    <w:rsid w:val="000D50D8"/>
    <w:rsid w:val="000D5344"/>
    <w:rsid w:val="000D54D3"/>
    <w:rsid w:val="000D5516"/>
    <w:rsid w:val="000D5873"/>
    <w:rsid w:val="000D587E"/>
    <w:rsid w:val="000D640D"/>
    <w:rsid w:val="000D645B"/>
    <w:rsid w:val="000D6705"/>
    <w:rsid w:val="000D676A"/>
    <w:rsid w:val="000D6AC0"/>
    <w:rsid w:val="000D7292"/>
    <w:rsid w:val="000D74FB"/>
    <w:rsid w:val="000D7778"/>
    <w:rsid w:val="000D7E94"/>
    <w:rsid w:val="000E1275"/>
    <w:rsid w:val="000E1507"/>
    <w:rsid w:val="000E1607"/>
    <w:rsid w:val="000E16D0"/>
    <w:rsid w:val="000E24D5"/>
    <w:rsid w:val="000E29E6"/>
    <w:rsid w:val="000E304D"/>
    <w:rsid w:val="000E3107"/>
    <w:rsid w:val="000E37FD"/>
    <w:rsid w:val="000E41E2"/>
    <w:rsid w:val="000E425C"/>
    <w:rsid w:val="000E48FD"/>
    <w:rsid w:val="000E4F61"/>
    <w:rsid w:val="000E59CA"/>
    <w:rsid w:val="000E5D78"/>
    <w:rsid w:val="000E635A"/>
    <w:rsid w:val="000E6583"/>
    <w:rsid w:val="000E6D5F"/>
    <w:rsid w:val="000E6EB1"/>
    <w:rsid w:val="000E7072"/>
    <w:rsid w:val="000E71EF"/>
    <w:rsid w:val="000E7553"/>
    <w:rsid w:val="000E76AF"/>
    <w:rsid w:val="000E7A65"/>
    <w:rsid w:val="000E7BA5"/>
    <w:rsid w:val="000F0124"/>
    <w:rsid w:val="000F03D6"/>
    <w:rsid w:val="000F04EB"/>
    <w:rsid w:val="000F138D"/>
    <w:rsid w:val="000F1427"/>
    <w:rsid w:val="000F1A15"/>
    <w:rsid w:val="000F1EE5"/>
    <w:rsid w:val="000F2568"/>
    <w:rsid w:val="000F2DF8"/>
    <w:rsid w:val="000F401A"/>
    <w:rsid w:val="000F4355"/>
    <w:rsid w:val="000F492D"/>
    <w:rsid w:val="000F4F00"/>
    <w:rsid w:val="000F4F7B"/>
    <w:rsid w:val="000F5010"/>
    <w:rsid w:val="000F5441"/>
    <w:rsid w:val="000F54C8"/>
    <w:rsid w:val="000F55EA"/>
    <w:rsid w:val="000F5CF9"/>
    <w:rsid w:val="000F636F"/>
    <w:rsid w:val="000F75A0"/>
    <w:rsid w:val="000F7B76"/>
    <w:rsid w:val="000F7CEF"/>
    <w:rsid w:val="001005D0"/>
    <w:rsid w:val="001011A1"/>
    <w:rsid w:val="001011CD"/>
    <w:rsid w:val="001016C0"/>
    <w:rsid w:val="00102733"/>
    <w:rsid w:val="00102A5F"/>
    <w:rsid w:val="00103264"/>
    <w:rsid w:val="001034C7"/>
    <w:rsid w:val="00103D1F"/>
    <w:rsid w:val="00104EA0"/>
    <w:rsid w:val="00105048"/>
    <w:rsid w:val="00105198"/>
    <w:rsid w:val="0010549D"/>
    <w:rsid w:val="00105B97"/>
    <w:rsid w:val="00105D35"/>
    <w:rsid w:val="00105FF8"/>
    <w:rsid w:val="00106014"/>
    <w:rsid w:val="00106BE1"/>
    <w:rsid w:val="00106D76"/>
    <w:rsid w:val="00106F60"/>
    <w:rsid w:val="001073CC"/>
    <w:rsid w:val="00107574"/>
    <w:rsid w:val="00107A10"/>
    <w:rsid w:val="00107A44"/>
    <w:rsid w:val="001100D2"/>
    <w:rsid w:val="00111590"/>
    <w:rsid w:val="00111718"/>
    <w:rsid w:val="001117FB"/>
    <w:rsid w:val="00111FEA"/>
    <w:rsid w:val="00112494"/>
    <w:rsid w:val="00112CDC"/>
    <w:rsid w:val="001136B5"/>
    <w:rsid w:val="00113873"/>
    <w:rsid w:val="001139D6"/>
    <w:rsid w:val="00113F5F"/>
    <w:rsid w:val="00113F6E"/>
    <w:rsid w:val="00114F74"/>
    <w:rsid w:val="0011561F"/>
    <w:rsid w:val="001166A5"/>
    <w:rsid w:val="0011739E"/>
    <w:rsid w:val="00117511"/>
    <w:rsid w:val="00117B0F"/>
    <w:rsid w:val="00117D23"/>
    <w:rsid w:val="00120228"/>
    <w:rsid w:val="00120BB0"/>
    <w:rsid w:val="00120E5D"/>
    <w:rsid w:val="001211FD"/>
    <w:rsid w:val="001218FE"/>
    <w:rsid w:val="0012232B"/>
    <w:rsid w:val="001225BE"/>
    <w:rsid w:val="00122974"/>
    <w:rsid w:val="00122CB8"/>
    <w:rsid w:val="00123FCA"/>
    <w:rsid w:val="001247A0"/>
    <w:rsid w:val="00124CA6"/>
    <w:rsid w:val="00124CEC"/>
    <w:rsid w:val="001250B4"/>
    <w:rsid w:val="001255A3"/>
    <w:rsid w:val="00125865"/>
    <w:rsid w:val="001263B9"/>
    <w:rsid w:val="001264C6"/>
    <w:rsid w:val="00126D0E"/>
    <w:rsid w:val="0013000D"/>
    <w:rsid w:val="0013061F"/>
    <w:rsid w:val="00131401"/>
    <w:rsid w:val="0013260C"/>
    <w:rsid w:val="001331E2"/>
    <w:rsid w:val="001333F3"/>
    <w:rsid w:val="001342AC"/>
    <w:rsid w:val="00134449"/>
    <w:rsid w:val="00135180"/>
    <w:rsid w:val="0013598F"/>
    <w:rsid w:val="00135992"/>
    <w:rsid w:val="00135D54"/>
    <w:rsid w:val="00136380"/>
    <w:rsid w:val="001368EA"/>
    <w:rsid w:val="00136CDE"/>
    <w:rsid w:val="0013721F"/>
    <w:rsid w:val="0013774C"/>
    <w:rsid w:val="00137EA9"/>
    <w:rsid w:val="0014004C"/>
    <w:rsid w:val="0014022E"/>
    <w:rsid w:val="00140ED6"/>
    <w:rsid w:val="00140FF0"/>
    <w:rsid w:val="00141AD4"/>
    <w:rsid w:val="00141EEC"/>
    <w:rsid w:val="0014261F"/>
    <w:rsid w:val="00142859"/>
    <w:rsid w:val="00142E3A"/>
    <w:rsid w:val="00143D53"/>
    <w:rsid w:val="001444AD"/>
    <w:rsid w:val="001448AF"/>
    <w:rsid w:val="001448E6"/>
    <w:rsid w:val="00144D4D"/>
    <w:rsid w:val="00144FC8"/>
    <w:rsid w:val="0014529D"/>
    <w:rsid w:val="001454A3"/>
    <w:rsid w:val="00145676"/>
    <w:rsid w:val="001456EC"/>
    <w:rsid w:val="00146D51"/>
    <w:rsid w:val="00147844"/>
    <w:rsid w:val="00147A87"/>
    <w:rsid w:val="00147F1F"/>
    <w:rsid w:val="0015081D"/>
    <w:rsid w:val="00150A59"/>
    <w:rsid w:val="00150C5D"/>
    <w:rsid w:val="0015199B"/>
    <w:rsid w:val="00151F7C"/>
    <w:rsid w:val="00152870"/>
    <w:rsid w:val="00152DAE"/>
    <w:rsid w:val="00152E43"/>
    <w:rsid w:val="00153008"/>
    <w:rsid w:val="001549B7"/>
    <w:rsid w:val="001553AC"/>
    <w:rsid w:val="00155850"/>
    <w:rsid w:val="001563FC"/>
    <w:rsid w:val="001565B6"/>
    <w:rsid w:val="00156916"/>
    <w:rsid w:val="00156F6A"/>
    <w:rsid w:val="001576F9"/>
    <w:rsid w:val="0016064F"/>
    <w:rsid w:val="0016067F"/>
    <w:rsid w:val="00160A39"/>
    <w:rsid w:val="00160BA8"/>
    <w:rsid w:val="00161872"/>
    <w:rsid w:val="00161968"/>
    <w:rsid w:val="001619F9"/>
    <w:rsid w:val="0016225F"/>
    <w:rsid w:val="00162AD4"/>
    <w:rsid w:val="001631A6"/>
    <w:rsid w:val="00163BCC"/>
    <w:rsid w:val="001646DA"/>
    <w:rsid w:val="00164B5F"/>
    <w:rsid w:val="00165078"/>
    <w:rsid w:val="00165A5C"/>
    <w:rsid w:val="00165F88"/>
    <w:rsid w:val="00166219"/>
    <w:rsid w:val="00166A47"/>
    <w:rsid w:val="00166D43"/>
    <w:rsid w:val="001671B9"/>
    <w:rsid w:val="00167B77"/>
    <w:rsid w:val="00167EFD"/>
    <w:rsid w:val="00170BAA"/>
    <w:rsid w:val="00171D47"/>
    <w:rsid w:val="00171E17"/>
    <w:rsid w:val="00172242"/>
    <w:rsid w:val="00172A4E"/>
    <w:rsid w:val="00172C6D"/>
    <w:rsid w:val="001735B4"/>
    <w:rsid w:val="00173F72"/>
    <w:rsid w:val="001740ED"/>
    <w:rsid w:val="00175A83"/>
    <w:rsid w:val="00175CC8"/>
    <w:rsid w:val="00175EDD"/>
    <w:rsid w:val="001760FA"/>
    <w:rsid w:val="001767F9"/>
    <w:rsid w:val="00180029"/>
    <w:rsid w:val="00180569"/>
    <w:rsid w:val="00180659"/>
    <w:rsid w:val="00180D51"/>
    <w:rsid w:val="001810F1"/>
    <w:rsid w:val="001817D5"/>
    <w:rsid w:val="00181884"/>
    <w:rsid w:val="00181DE3"/>
    <w:rsid w:val="0018242C"/>
    <w:rsid w:val="00182736"/>
    <w:rsid w:val="001828DD"/>
    <w:rsid w:val="00183161"/>
    <w:rsid w:val="001833E7"/>
    <w:rsid w:val="00183A50"/>
    <w:rsid w:val="00183C46"/>
    <w:rsid w:val="001845AE"/>
    <w:rsid w:val="00184D1D"/>
    <w:rsid w:val="00185098"/>
    <w:rsid w:val="0018516D"/>
    <w:rsid w:val="00185241"/>
    <w:rsid w:val="0018548E"/>
    <w:rsid w:val="00185CB1"/>
    <w:rsid w:val="001870C2"/>
    <w:rsid w:val="00187103"/>
    <w:rsid w:val="001872FF"/>
    <w:rsid w:val="001905F0"/>
    <w:rsid w:val="00190975"/>
    <w:rsid w:val="00190C1D"/>
    <w:rsid w:val="0019299C"/>
    <w:rsid w:val="00192A93"/>
    <w:rsid w:val="00193828"/>
    <w:rsid w:val="00193A12"/>
    <w:rsid w:val="00193F1D"/>
    <w:rsid w:val="00193FC7"/>
    <w:rsid w:val="00194161"/>
    <w:rsid w:val="001946FA"/>
    <w:rsid w:val="001947FF"/>
    <w:rsid w:val="0019482C"/>
    <w:rsid w:val="00194C0E"/>
    <w:rsid w:val="00195819"/>
    <w:rsid w:val="00195D05"/>
    <w:rsid w:val="001960D3"/>
    <w:rsid w:val="00197C03"/>
    <w:rsid w:val="00197E08"/>
    <w:rsid w:val="00197FC2"/>
    <w:rsid w:val="001A03C4"/>
    <w:rsid w:val="001A03DC"/>
    <w:rsid w:val="001A06C2"/>
    <w:rsid w:val="001A084D"/>
    <w:rsid w:val="001A0D57"/>
    <w:rsid w:val="001A0ED3"/>
    <w:rsid w:val="001A1850"/>
    <w:rsid w:val="001A1AF4"/>
    <w:rsid w:val="001A1BC4"/>
    <w:rsid w:val="001A35C8"/>
    <w:rsid w:val="001A43D7"/>
    <w:rsid w:val="001A4A47"/>
    <w:rsid w:val="001A532A"/>
    <w:rsid w:val="001A547D"/>
    <w:rsid w:val="001A5552"/>
    <w:rsid w:val="001A5C91"/>
    <w:rsid w:val="001A6F8C"/>
    <w:rsid w:val="001A732A"/>
    <w:rsid w:val="001A7516"/>
    <w:rsid w:val="001A7542"/>
    <w:rsid w:val="001A7620"/>
    <w:rsid w:val="001B006C"/>
    <w:rsid w:val="001B02F1"/>
    <w:rsid w:val="001B05AD"/>
    <w:rsid w:val="001B05F8"/>
    <w:rsid w:val="001B0923"/>
    <w:rsid w:val="001B11F4"/>
    <w:rsid w:val="001B1389"/>
    <w:rsid w:val="001B1C24"/>
    <w:rsid w:val="001B267C"/>
    <w:rsid w:val="001B27AB"/>
    <w:rsid w:val="001B2CDA"/>
    <w:rsid w:val="001B2D40"/>
    <w:rsid w:val="001B3AE7"/>
    <w:rsid w:val="001B3F4D"/>
    <w:rsid w:val="001B435A"/>
    <w:rsid w:val="001B5676"/>
    <w:rsid w:val="001B596B"/>
    <w:rsid w:val="001B5D57"/>
    <w:rsid w:val="001B62A8"/>
    <w:rsid w:val="001B64C5"/>
    <w:rsid w:val="001B68C2"/>
    <w:rsid w:val="001B6945"/>
    <w:rsid w:val="001B6E9B"/>
    <w:rsid w:val="001B72CE"/>
    <w:rsid w:val="001B79D3"/>
    <w:rsid w:val="001B7C80"/>
    <w:rsid w:val="001C00A9"/>
    <w:rsid w:val="001C0248"/>
    <w:rsid w:val="001C0402"/>
    <w:rsid w:val="001C08B7"/>
    <w:rsid w:val="001C102C"/>
    <w:rsid w:val="001C10C8"/>
    <w:rsid w:val="001C22FA"/>
    <w:rsid w:val="001C2BE5"/>
    <w:rsid w:val="001C3531"/>
    <w:rsid w:val="001C35C3"/>
    <w:rsid w:val="001C35CC"/>
    <w:rsid w:val="001C36A1"/>
    <w:rsid w:val="001C38F6"/>
    <w:rsid w:val="001C4EC0"/>
    <w:rsid w:val="001C4FB0"/>
    <w:rsid w:val="001C522D"/>
    <w:rsid w:val="001C52C6"/>
    <w:rsid w:val="001C56D1"/>
    <w:rsid w:val="001C5904"/>
    <w:rsid w:val="001C5978"/>
    <w:rsid w:val="001C59DD"/>
    <w:rsid w:val="001C59F9"/>
    <w:rsid w:val="001C5B22"/>
    <w:rsid w:val="001C5DC4"/>
    <w:rsid w:val="001C6413"/>
    <w:rsid w:val="001C64AC"/>
    <w:rsid w:val="001C6CBB"/>
    <w:rsid w:val="001C6E8F"/>
    <w:rsid w:val="001C758D"/>
    <w:rsid w:val="001C75E6"/>
    <w:rsid w:val="001C79F5"/>
    <w:rsid w:val="001D0BDB"/>
    <w:rsid w:val="001D11DC"/>
    <w:rsid w:val="001D1C7E"/>
    <w:rsid w:val="001D1CBC"/>
    <w:rsid w:val="001D2276"/>
    <w:rsid w:val="001D2639"/>
    <w:rsid w:val="001D337D"/>
    <w:rsid w:val="001D3795"/>
    <w:rsid w:val="001D3FEF"/>
    <w:rsid w:val="001D54AF"/>
    <w:rsid w:val="001D56E4"/>
    <w:rsid w:val="001D56EC"/>
    <w:rsid w:val="001D5D94"/>
    <w:rsid w:val="001D6169"/>
    <w:rsid w:val="001D6766"/>
    <w:rsid w:val="001D76CC"/>
    <w:rsid w:val="001D76DB"/>
    <w:rsid w:val="001D7B5E"/>
    <w:rsid w:val="001D7D8A"/>
    <w:rsid w:val="001D7FBD"/>
    <w:rsid w:val="001E03F6"/>
    <w:rsid w:val="001E04BC"/>
    <w:rsid w:val="001E075F"/>
    <w:rsid w:val="001E0A02"/>
    <w:rsid w:val="001E0C4C"/>
    <w:rsid w:val="001E267C"/>
    <w:rsid w:val="001E28E6"/>
    <w:rsid w:val="001E2D7A"/>
    <w:rsid w:val="001E3164"/>
    <w:rsid w:val="001E3B64"/>
    <w:rsid w:val="001E3DC3"/>
    <w:rsid w:val="001E4712"/>
    <w:rsid w:val="001E4719"/>
    <w:rsid w:val="001E5DD0"/>
    <w:rsid w:val="001E670C"/>
    <w:rsid w:val="001E73A1"/>
    <w:rsid w:val="001E7DCD"/>
    <w:rsid w:val="001F0289"/>
    <w:rsid w:val="001F05FE"/>
    <w:rsid w:val="001F12B3"/>
    <w:rsid w:val="001F1627"/>
    <w:rsid w:val="001F17C7"/>
    <w:rsid w:val="001F2522"/>
    <w:rsid w:val="001F28EA"/>
    <w:rsid w:val="001F2D3A"/>
    <w:rsid w:val="001F30D8"/>
    <w:rsid w:val="001F34B2"/>
    <w:rsid w:val="001F34FF"/>
    <w:rsid w:val="001F3691"/>
    <w:rsid w:val="001F39A3"/>
    <w:rsid w:val="001F4122"/>
    <w:rsid w:val="001F43AA"/>
    <w:rsid w:val="001F4736"/>
    <w:rsid w:val="001F4D3B"/>
    <w:rsid w:val="001F5093"/>
    <w:rsid w:val="001F5E3F"/>
    <w:rsid w:val="001F5EF3"/>
    <w:rsid w:val="001F6A53"/>
    <w:rsid w:val="001F6AB5"/>
    <w:rsid w:val="001F6E2B"/>
    <w:rsid w:val="001F6F67"/>
    <w:rsid w:val="001F7CE3"/>
    <w:rsid w:val="00200A03"/>
    <w:rsid w:val="00201296"/>
    <w:rsid w:val="002013DD"/>
    <w:rsid w:val="00201559"/>
    <w:rsid w:val="002015CB"/>
    <w:rsid w:val="00201B0B"/>
    <w:rsid w:val="0020224D"/>
    <w:rsid w:val="00202494"/>
    <w:rsid w:val="00202604"/>
    <w:rsid w:val="00203132"/>
    <w:rsid w:val="00204183"/>
    <w:rsid w:val="002041C5"/>
    <w:rsid w:val="002045FB"/>
    <w:rsid w:val="00205461"/>
    <w:rsid w:val="00206218"/>
    <w:rsid w:val="002067A4"/>
    <w:rsid w:val="00207AC8"/>
    <w:rsid w:val="00207AEF"/>
    <w:rsid w:val="00207EF5"/>
    <w:rsid w:val="002103EF"/>
    <w:rsid w:val="00210B14"/>
    <w:rsid w:val="00210DF0"/>
    <w:rsid w:val="00211205"/>
    <w:rsid w:val="00211682"/>
    <w:rsid w:val="00211F75"/>
    <w:rsid w:val="00212333"/>
    <w:rsid w:val="00212540"/>
    <w:rsid w:val="002125A5"/>
    <w:rsid w:val="00212B66"/>
    <w:rsid w:val="0021343B"/>
    <w:rsid w:val="00213598"/>
    <w:rsid w:val="002137F6"/>
    <w:rsid w:val="00214009"/>
    <w:rsid w:val="00214AC6"/>
    <w:rsid w:val="002152BD"/>
    <w:rsid w:val="00215875"/>
    <w:rsid w:val="00215B32"/>
    <w:rsid w:val="00215BA3"/>
    <w:rsid w:val="00216095"/>
    <w:rsid w:val="0021662C"/>
    <w:rsid w:val="0021683F"/>
    <w:rsid w:val="00216E6C"/>
    <w:rsid w:val="002173F0"/>
    <w:rsid w:val="00217776"/>
    <w:rsid w:val="00220A49"/>
    <w:rsid w:val="00220BB4"/>
    <w:rsid w:val="00220F76"/>
    <w:rsid w:val="002219DE"/>
    <w:rsid w:val="00221BE4"/>
    <w:rsid w:val="00221C14"/>
    <w:rsid w:val="00221E6E"/>
    <w:rsid w:val="00221ED9"/>
    <w:rsid w:val="00221FB1"/>
    <w:rsid w:val="00222529"/>
    <w:rsid w:val="0022267F"/>
    <w:rsid w:val="00222AEE"/>
    <w:rsid w:val="00222BC9"/>
    <w:rsid w:val="00222D22"/>
    <w:rsid w:val="00223010"/>
    <w:rsid w:val="00223350"/>
    <w:rsid w:val="002234AB"/>
    <w:rsid w:val="002239F7"/>
    <w:rsid w:val="002240A4"/>
    <w:rsid w:val="0022442A"/>
    <w:rsid w:val="00224BAB"/>
    <w:rsid w:val="00224FB3"/>
    <w:rsid w:val="002255A1"/>
    <w:rsid w:val="002259DA"/>
    <w:rsid w:val="00226064"/>
    <w:rsid w:val="002261D0"/>
    <w:rsid w:val="0022626E"/>
    <w:rsid w:val="002262A9"/>
    <w:rsid w:val="00226511"/>
    <w:rsid w:val="00226697"/>
    <w:rsid w:val="00226913"/>
    <w:rsid w:val="00226A30"/>
    <w:rsid w:val="0022722A"/>
    <w:rsid w:val="00227585"/>
    <w:rsid w:val="0023044B"/>
    <w:rsid w:val="002306C0"/>
    <w:rsid w:val="00230C60"/>
    <w:rsid w:val="00230F8F"/>
    <w:rsid w:val="002310AB"/>
    <w:rsid w:val="002310E5"/>
    <w:rsid w:val="002313F7"/>
    <w:rsid w:val="002320CD"/>
    <w:rsid w:val="002324D8"/>
    <w:rsid w:val="00232981"/>
    <w:rsid w:val="00232CDE"/>
    <w:rsid w:val="002340AB"/>
    <w:rsid w:val="002340C1"/>
    <w:rsid w:val="00235136"/>
    <w:rsid w:val="0023555F"/>
    <w:rsid w:val="00235B12"/>
    <w:rsid w:val="00236956"/>
    <w:rsid w:val="002371AB"/>
    <w:rsid w:val="00240A2D"/>
    <w:rsid w:val="00240F11"/>
    <w:rsid w:val="002413B6"/>
    <w:rsid w:val="00242ECC"/>
    <w:rsid w:val="00243152"/>
    <w:rsid w:val="002432A4"/>
    <w:rsid w:val="00243C07"/>
    <w:rsid w:val="00243CD3"/>
    <w:rsid w:val="00244061"/>
    <w:rsid w:val="00244E0E"/>
    <w:rsid w:val="00244F85"/>
    <w:rsid w:val="002459FB"/>
    <w:rsid w:val="00245DFA"/>
    <w:rsid w:val="002467EF"/>
    <w:rsid w:val="00247175"/>
    <w:rsid w:val="002475DD"/>
    <w:rsid w:val="00250473"/>
    <w:rsid w:val="002505F1"/>
    <w:rsid w:val="00250791"/>
    <w:rsid w:val="00250B7D"/>
    <w:rsid w:val="00251438"/>
    <w:rsid w:val="00251FFA"/>
    <w:rsid w:val="0025209E"/>
    <w:rsid w:val="00252AF6"/>
    <w:rsid w:val="00252B36"/>
    <w:rsid w:val="002530CF"/>
    <w:rsid w:val="00254658"/>
    <w:rsid w:val="00254FE1"/>
    <w:rsid w:val="00255017"/>
    <w:rsid w:val="0025502C"/>
    <w:rsid w:val="00255372"/>
    <w:rsid w:val="00255A13"/>
    <w:rsid w:val="00255D24"/>
    <w:rsid w:val="00255EAD"/>
    <w:rsid w:val="0025606A"/>
    <w:rsid w:val="00256CF5"/>
    <w:rsid w:val="002578D8"/>
    <w:rsid w:val="00260029"/>
    <w:rsid w:val="002601BA"/>
    <w:rsid w:val="0026025E"/>
    <w:rsid w:val="002618F9"/>
    <w:rsid w:val="002619FE"/>
    <w:rsid w:val="00261B11"/>
    <w:rsid w:val="00262074"/>
    <w:rsid w:val="002626AA"/>
    <w:rsid w:val="00262FC0"/>
    <w:rsid w:val="00263132"/>
    <w:rsid w:val="002632D6"/>
    <w:rsid w:val="00263377"/>
    <w:rsid w:val="00263486"/>
    <w:rsid w:val="00263695"/>
    <w:rsid w:val="0026467F"/>
    <w:rsid w:val="00264A91"/>
    <w:rsid w:val="00264E3C"/>
    <w:rsid w:val="00265146"/>
    <w:rsid w:val="00266CCF"/>
    <w:rsid w:val="00267162"/>
    <w:rsid w:val="0027074B"/>
    <w:rsid w:val="0027089D"/>
    <w:rsid w:val="00270903"/>
    <w:rsid w:val="00270CB6"/>
    <w:rsid w:val="002715FC"/>
    <w:rsid w:val="002716FD"/>
    <w:rsid w:val="00271CDD"/>
    <w:rsid w:val="00272998"/>
    <w:rsid w:val="00272A63"/>
    <w:rsid w:val="00272BD3"/>
    <w:rsid w:val="00272C3B"/>
    <w:rsid w:val="00272D27"/>
    <w:rsid w:val="0027334A"/>
    <w:rsid w:val="00273C36"/>
    <w:rsid w:val="00273FA5"/>
    <w:rsid w:val="002743D5"/>
    <w:rsid w:val="00274AE7"/>
    <w:rsid w:val="00274B89"/>
    <w:rsid w:val="00274EDC"/>
    <w:rsid w:val="00275435"/>
    <w:rsid w:val="002755B5"/>
    <w:rsid w:val="002770F5"/>
    <w:rsid w:val="00277722"/>
    <w:rsid w:val="00277939"/>
    <w:rsid w:val="00277C44"/>
    <w:rsid w:val="00280024"/>
    <w:rsid w:val="0028029B"/>
    <w:rsid w:val="00280A09"/>
    <w:rsid w:val="00280FCA"/>
    <w:rsid w:val="0028132E"/>
    <w:rsid w:val="00281BC9"/>
    <w:rsid w:val="00282063"/>
    <w:rsid w:val="00282912"/>
    <w:rsid w:val="00282C6C"/>
    <w:rsid w:val="00283D5F"/>
    <w:rsid w:val="002846F3"/>
    <w:rsid w:val="00284D1B"/>
    <w:rsid w:val="00285AE4"/>
    <w:rsid w:val="00286653"/>
    <w:rsid w:val="0028668D"/>
    <w:rsid w:val="0028686F"/>
    <w:rsid w:val="00286A7F"/>
    <w:rsid w:val="00286B9D"/>
    <w:rsid w:val="00286FDB"/>
    <w:rsid w:val="002876F5"/>
    <w:rsid w:val="00287992"/>
    <w:rsid w:val="00287C90"/>
    <w:rsid w:val="0029098E"/>
    <w:rsid w:val="00290D99"/>
    <w:rsid w:val="002913CD"/>
    <w:rsid w:val="0029164E"/>
    <w:rsid w:val="002917CA"/>
    <w:rsid w:val="0029212E"/>
    <w:rsid w:val="002921F0"/>
    <w:rsid w:val="00293B69"/>
    <w:rsid w:val="00294217"/>
    <w:rsid w:val="0029522C"/>
    <w:rsid w:val="00295C74"/>
    <w:rsid w:val="00296589"/>
    <w:rsid w:val="00296DC4"/>
    <w:rsid w:val="0029721D"/>
    <w:rsid w:val="00297533"/>
    <w:rsid w:val="002975C9"/>
    <w:rsid w:val="00297914"/>
    <w:rsid w:val="002A00BD"/>
    <w:rsid w:val="002A07C5"/>
    <w:rsid w:val="002A0A5B"/>
    <w:rsid w:val="002A0FB8"/>
    <w:rsid w:val="002A1AC7"/>
    <w:rsid w:val="002A24A4"/>
    <w:rsid w:val="002A2BB2"/>
    <w:rsid w:val="002A3124"/>
    <w:rsid w:val="002A328D"/>
    <w:rsid w:val="002A334C"/>
    <w:rsid w:val="002A3DF8"/>
    <w:rsid w:val="002A3EC5"/>
    <w:rsid w:val="002A45A5"/>
    <w:rsid w:val="002A4B45"/>
    <w:rsid w:val="002A4D7B"/>
    <w:rsid w:val="002A587F"/>
    <w:rsid w:val="002A63B1"/>
    <w:rsid w:val="002A68F6"/>
    <w:rsid w:val="002A6BCB"/>
    <w:rsid w:val="002A6D26"/>
    <w:rsid w:val="002A703C"/>
    <w:rsid w:val="002A7452"/>
    <w:rsid w:val="002B01E5"/>
    <w:rsid w:val="002B0708"/>
    <w:rsid w:val="002B0C1B"/>
    <w:rsid w:val="002B27B4"/>
    <w:rsid w:val="002B2CE3"/>
    <w:rsid w:val="002B2CEF"/>
    <w:rsid w:val="002B2F3F"/>
    <w:rsid w:val="002B3196"/>
    <w:rsid w:val="002B37E6"/>
    <w:rsid w:val="002B3BEC"/>
    <w:rsid w:val="002B45AB"/>
    <w:rsid w:val="002B482A"/>
    <w:rsid w:val="002B4A40"/>
    <w:rsid w:val="002B4BF9"/>
    <w:rsid w:val="002B4C08"/>
    <w:rsid w:val="002B5A7F"/>
    <w:rsid w:val="002B5F7C"/>
    <w:rsid w:val="002B6124"/>
    <w:rsid w:val="002B63C8"/>
    <w:rsid w:val="002B6F71"/>
    <w:rsid w:val="002B6F84"/>
    <w:rsid w:val="002B772A"/>
    <w:rsid w:val="002B7892"/>
    <w:rsid w:val="002B7A4B"/>
    <w:rsid w:val="002B7D24"/>
    <w:rsid w:val="002B7E84"/>
    <w:rsid w:val="002B7EBB"/>
    <w:rsid w:val="002C04C7"/>
    <w:rsid w:val="002C1F27"/>
    <w:rsid w:val="002C3CB8"/>
    <w:rsid w:val="002C47A2"/>
    <w:rsid w:val="002C4E6A"/>
    <w:rsid w:val="002C4EA9"/>
    <w:rsid w:val="002C5C4F"/>
    <w:rsid w:val="002C6259"/>
    <w:rsid w:val="002C6FE6"/>
    <w:rsid w:val="002C79BE"/>
    <w:rsid w:val="002C7ACE"/>
    <w:rsid w:val="002D02A6"/>
    <w:rsid w:val="002D09F2"/>
    <w:rsid w:val="002D1360"/>
    <w:rsid w:val="002D2689"/>
    <w:rsid w:val="002D2728"/>
    <w:rsid w:val="002D28C8"/>
    <w:rsid w:val="002D2AC6"/>
    <w:rsid w:val="002D2B06"/>
    <w:rsid w:val="002D2C20"/>
    <w:rsid w:val="002D2E93"/>
    <w:rsid w:val="002D3433"/>
    <w:rsid w:val="002D36FE"/>
    <w:rsid w:val="002D3C51"/>
    <w:rsid w:val="002D483F"/>
    <w:rsid w:val="002D4869"/>
    <w:rsid w:val="002D4ABC"/>
    <w:rsid w:val="002D52AA"/>
    <w:rsid w:val="002D553E"/>
    <w:rsid w:val="002D74EA"/>
    <w:rsid w:val="002E0082"/>
    <w:rsid w:val="002E06AC"/>
    <w:rsid w:val="002E0F0B"/>
    <w:rsid w:val="002E0F14"/>
    <w:rsid w:val="002E181A"/>
    <w:rsid w:val="002E19DD"/>
    <w:rsid w:val="002E1A1C"/>
    <w:rsid w:val="002E1D60"/>
    <w:rsid w:val="002E1E10"/>
    <w:rsid w:val="002E1EEB"/>
    <w:rsid w:val="002E2061"/>
    <w:rsid w:val="002E2C60"/>
    <w:rsid w:val="002E2DD0"/>
    <w:rsid w:val="002E2F77"/>
    <w:rsid w:val="002E3137"/>
    <w:rsid w:val="002E3AFC"/>
    <w:rsid w:val="002E3CFF"/>
    <w:rsid w:val="002E4BF0"/>
    <w:rsid w:val="002E4C98"/>
    <w:rsid w:val="002E5657"/>
    <w:rsid w:val="002E567F"/>
    <w:rsid w:val="002E583F"/>
    <w:rsid w:val="002E5C16"/>
    <w:rsid w:val="002E6232"/>
    <w:rsid w:val="002E62F2"/>
    <w:rsid w:val="002E65DC"/>
    <w:rsid w:val="002E7052"/>
    <w:rsid w:val="002F0B3E"/>
    <w:rsid w:val="002F1542"/>
    <w:rsid w:val="002F168E"/>
    <w:rsid w:val="002F177E"/>
    <w:rsid w:val="002F1792"/>
    <w:rsid w:val="002F1BB7"/>
    <w:rsid w:val="002F23A2"/>
    <w:rsid w:val="002F3906"/>
    <w:rsid w:val="002F3AD6"/>
    <w:rsid w:val="002F409C"/>
    <w:rsid w:val="002F42D0"/>
    <w:rsid w:val="002F49BF"/>
    <w:rsid w:val="002F5A26"/>
    <w:rsid w:val="002F622B"/>
    <w:rsid w:val="002F6592"/>
    <w:rsid w:val="002F68DF"/>
    <w:rsid w:val="002F6962"/>
    <w:rsid w:val="002F701E"/>
    <w:rsid w:val="002F7108"/>
    <w:rsid w:val="002F7863"/>
    <w:rsid w:val="0030076D"/>
    <w:rsid w:val="0030104C"/>
    <w:rsid w:val="00301580"/>
    <w:rsid w:val="003017BC"/>
    <w:rsid w:val="00301832"/>
    <w:rsid w:val="003019F0"/>
    <w:rsid w:val="00301A68"/>
    <w:rsid w:val="00301FB8"/>
    <w:rsid w:val="00301FEC"/>
    <w:rsid w:val="003020C6"/>
    <w:rsid w:val="003021E1"/>
    <w:rsid w:val="00303259"/>
    <w:rsid w:val="00303280"/>
    <w:rsid w:val="003047CB"/>
    <w:rsid w:val="00304DAF"/>
    <w:rsid w:val="00304F73"/>
    <w:rsid w:val="00305DB5"/>
    <w:rsid w:val="00305F22"/>
    <w:rsid w:val="0030604D"/>
    <w:rsid w:val="003061CA"/>
    <w:rsid w:val="0030676B"/>
    <w:rsid w:val="00306A7D"/>
    <w:rsid w:val="00306E61"/>
    <w:rsid w:val="00307022"/>
    <w:rsid w:val="00307671"/>
    <w:rsid w:val="00307FB5"/>
    <w:rsid w:val="00311D09"/>
    <w:rsid w:val="00311D96"/>
    <w:rsid w:val="00311F4F"/>
    <w:rsid w:val="003125E9"/>
    <w:rsid w:val="00313B90"/>
    <w:rsid w:val="003140F6"/>
    <w:rsid w:val="00314C80"/>
    <w:rsid w:val="00314DD0"/>
    <w:rsid w:val="00314F52"/>
    <w:rsid w:val="0031506A"/>
    <w:rsid w:val="0031542C"/>
    <w:rsid w:val="003155E1"/>
    <w:rsid w:val="00315C42"/>
    <w:rsid w:val="00315FA2"/>
    <w:rsid w:val="00315FB7"/>
    <w:rsid w:val="00316029"/>
    <w:rsid w:val="003168B2"/>
    <w:rsid w:val="00316A85"/>
    <w:rsid w:val="00316F8C"/>
    <w:rsid w:val="0032035C"/>
    <w:rsid w:val="00320717"/>
    <w:rsid w:val="003207C0"/>
    <w:rsid w:val="00320FFF"/>
    <w:rsid w:val="00321787"/>
    <w:rsid w:val="00321848"/>
    <w:rsid w:val="0032194F"/>
    <w:rsid w:val="00321BFE"/>
    <w:rsid w:val="00322B2B"/>
    <w:rsid w:val="00322DAD"/>
    <w:rsid w:val="00322E10"/>
    <w:rsid w:val="003231B6"/>
    <w:rsid w:val="00323299"/>
    <w:rsid w:val="00323519"/>
    <w:rsid w:val="003236E1"/>
    <w:rsid w:val="0032461F"/>
    <w:rsid w:val="0032482B"/>
    <w:rsid w:val="00324E87"/>
    <w:rsid w:val="00325576"/>
    <w:rsid w:val="0032597A"/>
    <w:rsid w:val="00325E45"/>
    <w:rsid w:val="00325FE6"/>
    <w:rsid w:val="00326B0C"/>
    <w:rsid w:val="00327421"/>
    <w:rsid w:val="0033036E"/>
    <w:rsid w:val="003308F6"/>
    <w:rsid w:val="003313DA"/>
    <w:rsid w:val="003330E7"/>
    <w:rsid w:val="00333205"/>
    <w:rsid w:val="003336F8"/>
    <w:rsid w:val="0033453D"/>
    <w:rsid w:val="003345E8"/>
    <w:rsid w:val="00334883"/>
    <w:rsid w:val="00334A00"/>
    <w:rsid w:val="00334B71"/>
    <w:rsid w:val="003363D9"/>
    <w:rsid w:val="003366C8"/>
    <w:rsid w:val="00337B40"/>
    <w:rsid w:val="00337C89"/>
    <w:rsid w:val="003405D3"/>
    <w:rsid w:val="0034087E"/>
    <w:rsid w:val="00341605"/>
    <w:rsid w:val="00341958"/>
    <w:rsid w:val="00342011"/>
    <w:rsid w:val="003420C0"/>
    <w:rsid w:val="003423F3"/>
    <w:rsid w:val="00343746"/>
    <w:rsid w:val="00343EE6"/>
    <w:rsid w:val="003448C4"/>
    <w:rsid w:val="00345081"/>
    <w:rsid w:val="003452B1"/>
    <w:rsid w:val="00345821"/>
    <w:rsid w:val="003458BA"/>
    <w:rsid w:val="00346217"/>
    <w:rsid w:val="00346CF1"/>
    <w:rsid w:val="00346F24"/>
    <w:rsid w:val="003508CA"/>
    <w:rsid w:val="00350EF5"/>
    <w:rsid w:val="00351023"/>
    <w:rsid w:val="00352A51"/>
    <w:rsid w:val="0035365F"/>
    <w:rsid w:val="003537B3"/>
    <w:rsid w:val="00353A26"/>
    <w:rsid w:val="00353B97"/>
    <w:rsid w:val="0035429D"/>
    <w:rsid w:val="0035442F"/>
    <w:rsid w:val="00354AA0"/>
    <w:rsid w:val="00354EA0"/>
    <w:rsid w:val="003551B6"/>
    <w:rsid w:val="00355DC1"/>
    <w:rsid w:val="00355F78"/>
    <w:rsid w:val="0035659A"/>
    <w:rsid w:val="00356DC4"/>
    <w:rsid w:val="00356DF0"/>
    <w:rsid w:val="00357023"/>
    <w:rsid w:val="00357263"/>
    <w:rsid w:val="00360E21"/>
    <w:rsid w:val="00360ED0"/>
    <w:rsid w:val="00360EF2"/>
    <w:rsid w:val="00361163"/>
    <w:rsid w:val="00361167"/>
    <w:rsid w:val="003611D2"/>
    <w:rsid w:val="00361639"/>
    <w:rsid w:val="00361746"/>
    <w:rsid w:val="0036177C"/>
    <w:rsid w:val="00361F5C"/>
    <w:rsid w:val="00362542"/>
    <w:rsid w:val="00362C82"/>
    <w:rsid w:val="0036313C"/>
    <w:rsid w:val="00363198"/>
    <w:rsid w:val="00363BF8"/>
    <w:rsid w:val="00364C29"/>
    <w:rsid w:val="00364FCD"/>
    <w:rsid w:val="0036584D"/>
    <w:rsid w:val="003658AF"/>
    <w:rsid w:val="0036624D"/>
    <w:rsid w:val="003664A7"/>
    <w:rsid w:val="00366D2D"/>
    <w:rsid w:val="0036776D"/>
    <w:rsid w:val="00367FF5"/>
    <w:rsid w:val="003700C3"/>
    <w:rsid w:val="00370E8D"/>
    <w:rsid w:val="00372257"/>
    <w:rsid w:val="00372333"/>
    <w:rsid w:val="003727A6"/>
    <w:rsid w:val="00372E68"/>
    <w:rsid w:val="00373300"/>
    <w:rsid w:val="00373D58"/>
    <w:rsid w:val="00373E53"/>
    <w:rsid w:val="00373F87"/>
    <w:rsid w:val="00374318"/>
    <w:rsid w:val="0037438A"/>
    <w:rsid w:val="003747C9"/>
    <w:rsid w:val="00374FDC"/>
    <w:rsid w:val="00375A4B"/>
    <w:rsid w:val="00375E5B"/>
    <w:rsid w:val="0037682C"/>
    <w:rsid w:val="00377035"/>
    <w:rsid w:val="00380203"/>
    <w:rsid w:val="00381008"/>
    <w:rsid w:val="003825B8"/>
    <w:rsid w:val="003835CB"/>
    <w:rsid w:val="00383E26"/>
    <w:rsid w:val="003852D8"/>
    <w:rsid w:val="0038562E"/>
    <w:rsid w:val="00385829"/>
    <w:rsid w:val="0038593A"/>
    <w:rsid w:val="00385A2C"/>
    <w:rsid w:val="00385B03"/>
    <w:rsid w:val="003860A3"/>
    <w:rsid w:val="0038612B"/>
    <w:rsid w:val="0038633F"/>
    <w:rsid w:val="003868A3"/>
    <w:rsid w:val="00386A1C"/>
    <w:rsid w:val="003872A1"/>
    <w:rsid w:val="0038782D"/>
    <w:rsid w:val="00387E73"/>
    <w:rsid w:val="003905B1"/>
    <w:rsid w:val="00390737"/>
    <w:rsid w:val="00390761"/>
    <w:rsid w:val="00390DE5"/>
    <w:rsid w:val="00390E42"/>
    <w:rsid w:val="0039133A"/>
    <w:rsid w:val="003914C5"/>
    <w:rsid w:val="00391DF8"/>
    <w:rsid w:val="00391FD6"/>
    <w:rsid w:val="003920EB"/>
    <w:rsid w:val="0039221F"/>
    <w:rsid w:val="0039261A"/>
    <w:rsid w:val="003928D4"/>
    <w:rsid w:val="00392B6B"/>
    <w:rsid w:val="00393180"/>
    <w:rsid w:val="003931A5"/>
    <w:rsid w:val="0039345D"/>
    <w:rsid w:val="00393A4E"/>
    <w:rsid w:val="00393BBE"/>
    <w:rsid w:val="00394C03"/>
    <w:rsid w:val="00394D72"/>
    <w:rsid w:val="00395435"/>
    <w:rsid w:val="00396671"/>
    <w:rsid w:val="00396C06"/>
    <w:rsid w:val="00396E4F"/>
    <w:rsid w:val="0039753E"/>
    <w:rsid w:val="003978C7"/>
    <w:rsid w:val="00397EDC"/>
    <w:rsid w:val="003A02A0"/>
    <w:rsid w:val="003A0779"/>
    <w:rsid w:val="003A0829"/>
    <w:rsid w:val="003A0BA1"/>
    <w:rsid w:val="003A0BDD"/>
    <w:rsid w:val="003A13F3"/>
    <w:rsid w:val="003A15D1"/>
    <w:rsid w:val="003A1EEB"/>
    <w:rsid w:val="003A25D6"/>
    <w:rsid w:val="003A262E"/>
    <w:rsid w:val="003A2EE3"/>
    <w:rsid w:val="003A2FF6"/>
    <w:rsid w:val="003A30EE"/>
    <w:rsid w:val="003A37EA"/>
    <w:rsid w:val="003A3E97"/>
    <w:rsid w:val="003A3EFE"/>
    <w:rsid w:val="003A494C"/>
    <w:rsid w:val="003A4E1C"/>
    <w:rsid w:val="003A5429"/>
    <w:rsid w:val="003A6271"/>
    <w:rsid w:val="003A6344"/>
    <w:rsid w:val="003A6F8E"/>
    <w:rsid w:val="003A7756"/>
    <w:rsid w:val="003A78B2"/>
    <w:rsid w:val="003A7C9F"/>
    <w:rsid w:val="003A7F05"/>
    <w:rsid w:val="003B02A3"/>
    <w:rsid w:val="003B0811"/>
    <w:rsid w:val="003B0BB2"/>
    <w:rsid w:val="003B0D7B"/>
    <w:rsid w:val="003B13A0"/>
    <w:rsid w:val="003B165E"/>
    <w:rsid w:val="003B1E10"/>
    <w:rsid w:val="003B227C"/>
    <w:rsid w:val="003B2A59"/>
    <w:rsid w:val="003B2D34"/>
    <w:rsid w:val="003B36E1"/>
    <w:rsid w:val="003B37DD"/>
    <w:rsid w:val="003B476D"/>
    <w:rsid w:val="003B4C2F"/>
    <w:rsid w:val="003B54E6"/>
    <w:rsid w:val="003B57F1"/>
    <w:rsid w:val="003B6A74"/>
    <w:rsid w:val="003B6B17"/>
    <w:rsid w:val="003B6C64"/>
    <w:rsid w:val="003B6EF4"/>
    <w:rsid w:val="003B78E9"/>
    <w:rsid w:val="003B7C8A"/>
    <w:rsid w:val="003B7F54"/>
    <w:rsid w:val="003C0967"/>
    <w:rsid w:val="003C0ED6"/>
    <w:rsid w:val="003C105A"/>
    <w:rsid w:val="003C118C"/>
    <w:rsid w:val="003C16F4"/>
    <w:rsid w:val="003C1987"/>
    <w:rsid w:val="003C1B95"/>
    <w:rsid w:val="003C1C2D"/>
    <w:rsid w:val="003C2992"/>
    <w:rsid w:val="003C2BC2"/>
    <w:rsid w:val="003C38FB"/>
    <w:rsid w:val="003C3D7A"/>
    <w:rsid w:val="003C49DB"/>
    <w:rsid w:val="003C56D5"/>
    <w:rsid w:val="003C6314"/>
    <w:rsid w:val="003C7600"/>
    <w:rsid w:val="003C7756"/>
    <w:rsid w:val="003C7C79"/>
    <w:rsid w:val="003C7CE1"/>
    <w:rsid w:val="003C7FD1"/>
    <w:rsid w:val="003D023E"/>
    <w:rsid w:val="003D0768"/>
    <w:rsid w:val="003D0936"/>
    <w:rsid w:val="003D0957"/>
    <w:rsid w:val="003D0A64"/>
    <w:rsid w:val="003D0AE6"/>
    <w:rsid w:val="003D0EB0"/>
    <w:rsid w:val="003D0F52"/>
    <w:rsid w:val="003D22EE"/>
    <w:rsid w:val="003D31D4"/>
    <w:rsid w:val="003D3600"/>
    <w:rsid w:val="003D4972"/>
    <w:rsid w:val="003D595C"/>
    <w:rsid w:val="003D616F"/>
    <w:rsid w:val="003D767C"/>
    <w:rsid w:val="003D7849"/>
    <w:rsid w:val="003E02D4"/>
    <w:rsid w:val="003E03A7"/>
    <w:rsid w:val="003E04A0"/>
    <w:rsid w:val="003E0986"/>
    <w:rsid w:val="003E0A12"/>
    <w:rsid w:val="003E0DD0"/>
    <w:rsid w:val="003E0FB6"/>
    <w:rsid w:val="003E158C"/>
    <w:rsid w:val="003E18B4"/>
    <w:rsid w:val="003E198A"/>
    <w:rsid w:val="003E262A"/>
    <w:rsid w:val="003E3000"/>
    <w:rsid w:val="003E336C"/>
    <w:rsid w:val="003E41EC"/>
    <w:rsid w:val="003E49EF"/>
    <w:rsid w:val="003E541E"/>
    <w:rsid w:val="003E647B"/>
    <w:rsid w:val="003E6868"/>
    <w:rsid w:val="003E78A0"/>
    <w:rsid w:val="003E7A79"/>
    <w:rsid w:val="003F03E9"/>
    <w:rsid w:val="003F062E"/>
    <w:rsid w:val="003F07D0"/>
    <w:rsid w:val="003F1462"/>
    <w:rsid w:val="003F1A2A"/>
    <w:rsid w:val="003F284B"/>
    <w:rsid w:val="003F2851"/>
    <w:rsid w:val="003F30E2"/>
    <w:rsid w:val="003F39D9"/>
    <w:rsid w:val="003F3A38"/>
    <w:rsid w:val="003F3C60"/>
    <w:rsid w:val="003F3E0F"/>
    <w:rsid w:val="003F3F92"/>
    <w:rsid w:val="003F4AFE"/>
    <w:rsid w:val="003F4C15"/>
    <w:rsid w:val="003F5400"/>
    <w:rsid w:val="003F56BE"/>
    <w:rsid w:val="003F633A"/>
    <w:rsid w:val="003F675A"/>
    <w:rsid w:val="003F6E0A"/>
    <w:rsid w:val="003F760A"/>
    <w:rsid w:val="003F78D5"/>
    <w:rsid w:val="00400120"/>
    <w:rsid w:val="0040034D"/>
    <w:rsid w:val="0040069D"/>
    <w:rsid w:val="004007E8"/>
    <w:rsid w:val="00400803"/>
    <w:rsid w:val="0040086D"/>
    <w:rsid w:val="00400D6E"/>
    <w:rsid w:val="00400E82"/>
    <w:rsid w:val="0040103C"/>
    <w:rsid w:val="00401764"/>
    <w:rsid w:val="00402DA8"/>
    <w:rsid w:val="00402F2B"/>
    <w:rsid w:val="00403045"/>
    <w:rsid w:val="0040361B"/>
    <w:rsid w:val="0040399A"/>
    <w:rsid w:val="00403BAF"/>
    <w:rsid w:val="00404049"/>
    <w:rsid w:val="00404469"/>
    <w:rsid w:val="004048FF"/>
    <w:rsid w:val="004067EE"/>
    <w:rsid w:val="00406946"/>
    <w:rsid w:val="00406E97"/>
    <w:rsid w:val="00407669"/>
    <w:rsid w:val="00407868"/>
    <w:rsid w:val="00407FAE"/>
    <w:rsid w:val="00410F83"/>
    <w:rsid w:val="0041217D"/>
    <w:rsid w:val="00412866"/>
    <w:rsid w:val="00412A4D"/>
    <w:rsid w:val="00412D04"/>
    <w:rsid w:val="00413161"/>
    <w:rsid w:val="004142C9"/>
    <w:rsid w:val="0041509A"/>
    <w:rsid w:val="00415267"/>
    <w:rsid w:val="00415570"/>
    <w:rsid w:val="00415812"/>
    <w:rsid w:val="00415A00"/>
    <w:rsid w:val="00415CD5"/>
    <w:rsid w:val="004160A3"/>
    <w:rsid w:val="004162B1"/>
    <w:rsid w:val="00416BAB"/>
    <w:rsid w:val="00416C2B"/>
    <w:rsid w:val="004179C1"/>
    <w:rsid w:val="00420442"/>
    <w:rsid w:val="004207D1"/>
    <w:rsid w:val="00421018"/>
    <w:rsid w:val="0042124B"/>
    <w:rsid w:val="0042136D"/>
    <w:rsid w:val="00421C96"/>
    <w:rsid w:val="00421E0C"/>
    <w:rsid w:val="00421FE8"/>
    <w:rsid w:val="004224E7"/>
    <w:rsid w:val="0042287F"/>
    <w:rsid w:val="004231FE"/>
    <w:rsid w:val="00423BBE"/>
    <w:rsid w:val="00423D17"/>
    <w:rsid w:val="00424695"/>
    <w:rsid w:val="00424FB6"/>
    <w:rsid w:val="0042519B"/>
    <w:rsid w:val="004258BC"/>
    <w:rsid w:val="00427149"/>
    <w:rsid w:val="004275BA"/>
    <w:rsid w:val="004278AB"/>
    <w:rsid w:val="00427983"/>
    <w:rsid w:val="004305AC"/>
    <w:rsid w:val="00430817"/>
    <w:rsid w:val="00431242"/>
    <w:rsid w:val="00432219"/>
    <w:rsid w:val="004327CF"/>
    <w:rsid w:val="00432AC1"/>
    <w:rsid w:val="00432E25"/>
    <w:rsid w:val="004338D4"/>
    <w:rsid w:val="00433BF0"/>
    <w:rsid w:val="004342AD"/>
    <w:rsid w:val="0043443F"/>
    <w:rsid w:val="00434B0C"/>
    <w:rsid w:val="00434BD5"/>
    <w:rsid w:val="004350B0"/>
    <w:rsid w:val="004355B0"/>
    <w:rsid w:val="004355F5"/>
    <w:rsid w:val="00435DA5"/>
    <w:rsid w:val="004360F9"/>
    <w:rsid w:val="00436194"/>
    <w:rsid w:val="00436390"/>
    <w:rsid w:val="0043688A"/>
    <w:rsid w:val="00436DA4"/>
    <w:rsid w:val="00437255"/>
    <w:rsid w:val="00437680"/>
    <w:rsid w:val="004376EE"/>
    <w:rsid w:val="00440BB8"/>
    <w:rsid w:val="00441ADC"/>
    <w:rsid w:val="00442E2B"/>
    <w:rsid w:val="0044346C"/>
    <w:rsid w:val="00443A93"/>
    <w:rsid w:val="00443F2B"/>
    <w:rsid w:val="004442C3"/>
    <w:rsid w:val="0044484A"/>
    <w:rsid w:val="00444BB4"/>
    <w:rsid w:val="00444BF6"/>
    <w:rsid w:val="00444C47"/>
    <w:rsid w:val="00444D2F"/>
    <w:rsid w:val="00445027"/>
    <w:rsid w:val="00445143"/>
    <w:rsid w:val="004456D8"/>
    <w:rsid w:val="0044579E"/>
    <w:rsid w:val="004474C4"/>
    <w:rsid w:val="00450376"/>
    <w:rsid w:val="004506C7"/>
    <w:rsid w:val="00450A68"/>
    <w:rsid w:val="00450C23"/>
    <w:rsid w:val="00450CB8"/>
    <w:rsid w:val="00450D05"/>
    <w:rsid w:val="004516FF"/>
    <w:rsid w:val="00451E8A"/>
    <w:rsid w:val="0045227F"/>
    <w:rsid w:val="004527DF"/>
    <w:rsid w:val="004528FD"/>
    <w:rsid w:val="00452EC8"/>
    <w:rsid w:val="00452F66"/>
    <w:rsid w:val="00453157"/>
    <w:rsid w:val="0045359F"/>
    <w:rsid w:val="00453A33"/>
    <w:rsid w:val="0045440F"/>
    <w:rsid w:val="00454469"/>
    <w:rsid w:val="0045488B"/>
    <w:rsid w:val="00454B65"/>
    <w:rsid w:val="00455873"/>
    <w:rsid w:val="00455D60"/>
    <w:rsid w:val="00456124"/>
    <w:rsid w:val="00456416"/>
    <w:rsid w:val="00456DB3"/>
    <w:rsid w:val="004575D8"/>
    <w:rsid w:val="00457632"/>
    <w:rsid w:val="00460128"/>
    <w:rsid w:val="0046086A"/>
    <w:rsid w:val="004610CF"/>
    <w:rsid w:val="004615E6"/>
    <w:rsid w:val="00461644"/>
    <w:rsid w:val="0046186E"/>
    <w:rsid w:val="004619C5"/>
    <w:rsid w:val="00461B09"/>
    <w:rsid w:val="00462847"/>
    <w:rsid w:val="00462B24"/>
    <w:rsid w:val="00462BEE"/>
    <w:rsid w:val="00462E90"/>
    <w:rsid w:val="00463188"/>
    <w:rsid w:val="0046327C"/>
    <w:rsid w:val="00463809"/>
    <w:rsid w:val="00463A34"/>
    <w:rsid w:val="00463BF1"/>
    <w:rsid w:val="004647DF"/>
    <w:rsid w:val="00465241"/>
    <w:rsid w:val="00465C28"/>
    <w:rsid w:val="00465C73"/>
    <w:rsid w:val="004663D4"/>
    <w:rsid w:val="00467108"/>
    <w:rsid w:val="0046749D"/>
    <w:rsid w:val="004679FF"/>
    <w:rsid w:val="00470190"/>
    <w:rsid w:val="00470325"/>
    <w:rsid w:val="00470BCD"/>
    <w:rsid w:val="00470CA6"/>
    <w:rsid w:val="00470D3D"/>
    <w:rsid w:val="00470F0E"/>
    <w:rsid w:val="004713B2"/>
    <w:rsid w:val="00471E16"/>
    <w:rsid w:val="00472645"/>
    <w:rsid w:val="00473063"/>
    <w:rsid w:val="0047313D"/>
    <w:rsid w:val="00473717"/>
    <w:rsid w:val="004745CA"/>
    <w:rsid w:val="004749E7"/>
    <w:rsid w:val="00474DE8"/>
    <w:rsid w:val="00475182"/>
    <w:rsid w:val="004754C2"/>
    <w:rsid w:val="00475586"/>
    <w:rsid w:val="004760D0"/>
    <w:rsid w:val="004766E4"/>
    <w:rsid w:val="00476B1D"/>
    <w:rsid w:val="00477150"/>
    <w:rsid w:val="00477448"/>
    <w:rsid w:val="004809FE"/>
    <w:rsid w:val="00480A16"/>
    <w:rsid w:val="00480DA7"/>
    <w:rsid w:val="00480EAE"/>
    <w:rsid w:val="004815C6"/>
    <w:rsid w:val="004817AF"/>
    <w:rsid w:val="0048272C"/>
    <w:rsid w:val="0048297B"/>
    <w:rsid w:val="00482CFC"/>
    <w:rsid w:val="004836D7"/>
    <w:rsid w:val="00483AAA"/>
    <w:rsid w:val="00483CD3"/>
    <w:rsid w:val="00485FEE"/>
    <w:rsid w:val="00486DFF"/>
    <w:rsid w:val="00487198"/>
    <w:rsid w:val="00487462"/>
    <w:rsid w:val="00487FEE"/>
    <w:rsid w:val="0049018C"/>
    <w:rsid w:val="00490CE0"/>
    <w:rsid w:val="00490FCF"/>
    <w:rsid w:val="00491EA6"/>
    <w:rsid w:val="00491FB2"/>
    <w:rsid w:val="004922EB"/>
    <w:rsid w:val="004926F4"/>
    <w:rsid w:val="00492B1B"/>
    <w:rsid w:val="00492C4B"/>
    <w:rsid w:val="00492E75"/>
    <w:rsid w:val="00492FEC"/>
    <w:rsid w:val="0049332C"/>
    <w:rsid w:val="0049486C"/>
    <w:rsid w:val="00494FD4"/>
    <w:rsid w:val="0049592C"/>
    <w:rsid w:val="00496530"/>
    <w:rsid w:val="00496B14"/>
    <w:rsid w:val="00496B70"/>
    <w:rsid w:val="004970CB"/>
    <w:rsid w:val="004973BC"/>
    <w:rsid w:val="00497BD9"/>
    <w:rsid w:val="00497E93"/>
    <w:rsid w:val="004A00AC"/>
    <w:rsid w:val="004A0700"/>
    <w:rsid w:val="004A11D4"/>
    <w:rsid w:val="004A1216"/>
    <w:rsid w:val="004A132C"/>
    <w:rsid w:val="004A29CE"/>
    <w:rsid w:val="004A2C6C"/>
    <w:rsid w:val="004A2E4F"/>
    <w:rsid w:val="004A3188"/>
    <w:rsid w:val="004A3D61"/>
    <w:rsid w:val="004A3DB5"/>
    <w:rsid w:val="004A4657"/>
    <w:rsid w:val="004A50A8"/>
    <w:rsid w:val="004A5468"/>
    <w:rsid w:val="004A57DF"/>
    <w:rsid w:val="004A5A20"/>
    <w:rsid w:val="004A6AA2"/>
    <w:rsid w:val="004A6C68"/>
    <w:rsid w:val="004B0CAB"/>
    <w:rsid w:val="004B0E25"/>
    <w:rsid w:val="004B12B6"/>
    <w:rsid w:val="004B1A1A"/>
    <w:rsid w:val="004B1B9B"/>
    <w:rsid w:val="004B1DE6"/>
    <w:rsid w:val="004B2881"/>
    <w:rsid w:val="004B2E07"/>
    <w:rsid w:val="004B332B"/>
    <w:rsid w:val="004B3A8C"/>
    <w:rsid w:val="004B46E9"/>
    <w:rsid w:val="004B49D4"/>
    <w:rsid w:val="004B4D9E"/>
    <w:rsid w:val="004B52B5"/>
    <w:rsid w:val="004B539F"/>
    <w:rsid w:val="004B548E"/>
    <w:rsid w:val="004B57B2"/>
    <w:rsid w:val="004B5EC6"/>
    <w:rsid w:val="004B669A"/>
    <w:rsid w:val="004B6D02"/>
    <w:rsid w:val="004B718E"/>
    <w:rsid w:val="004B719B"/>
    <w:rsid w:val="004B7448"/>
    <w:rsid w:val="004B78D8"/>
    <w:rsid w:val="004B7BB2"/>
    <w:rsid w:val="004B7F46"/>
    <w:rsid w:val="004C03E7"/>
    <w:rsid w:val="004C0D5E"/>
    <w:rsid w:val="004C1F75"/>
    <w:rsid w:val="004C20D9"/>
    <w:rsid w:val="004C237A"/>
    <w:rsid w:val="004C2642"/>
    <w:rsid w:val="004C2C25"/>
    <w:rsid w:val="004C2F55"/>
    <w:rsid w:val="004C3C98"/>
    <w:rsid w:val="004C3ED6"/>
    <w:rsid w:val="004C4094"/>
    <w:rsid w:val="004C43A3"/>
    <w:rsid w:val="004C5002"/>
    <w:rsid w:val="004C522D"/>
    <w:rsid w:val="004C5486"/>
    <w:rsid w:val="004C59BD"/>
    <w:rsid w:val="004C6483"/>
    <w:rsid w:val="004C684F"/>
    <w:rsid w:val="004C6F3B"/>
    <w:rsid w:val="004C7845"/>
    <w:rsid w:val="004D0094"/>
    <w:rsid w:val="004D057B"/>
    <w:rsid w:val="004D23D6"/>
    <w:rsid w:val="004D2DFE"/>
    <w:rsid w:val="004D32D4"/>
    <w:rsid w:val="004D3342"/>
    <w:rsid w:val="004D3837"/>
    <w:rsid w:val="004D3EB2"/>
    <w:rsid w:val="004D44B6"/>
    <w:rsid w:val="004D48F2"/>
    <w:rsid w:val="004D57AE"/>
    <w:rsid w:val="004D5FDA"/>
    <w:rsid w:val="004D6C5A"/>
    <w:rsid w:val="004D6E78"/>
    <w:rsid w:val="004D6ED6"/>
    <w:rsid w:val="004E00A4"/>
    <w:rsid w:val="004E06DA"/>
    <w:rsid w:val="004E0B43"/>
    <w:rsid w:val="004E0DAB"/>
    <w:rsid w:val="004E12E7"/>
    <w:rsid w:val="004E24AD"/>
    <w:rsid w:val="004E2939"/>
    <w:rsid w:val="004E4322"/>
    <w:rsid w:val="004E4371"/>
    <w:rsid w:val="004E54BD"/>
    <w:rsid w:val="004E5A3D"/>
    <w:rsid w:val="004E6AB5"/>
    <w:rsid w:val="004E6F54"/>
    <w:rsid w:val="004E70A2"/>
    <w:rsid w:val="004E72E3"/>
    <w:rsid w:val="004E7E2B"/>
    <w:rsid w:val="004F0388"/>
    <w:rsid w:val="004F0AA1"/>
    <w:rsid w:val="004F0D0A"/>
    <w:rsid w:val="004F13F6"/>
    <w:rsid w:val="004F194D"/>
    <w:rsid w:val="004F1A6B"/>
    <w:rsid w:val="004F2252"/>
    <w:rsid w:val="004F2C48"/>
    <w:rsid w:val="004F340B"/>
    <w:rsid w:val="004F3458"/>
    <w:rsid w:val="004F3A65"/>
    <w:rsid w:val="004F3C51"/>
    <w:rsid w:val="004F40DD"/>
    <w:rsid w:val="004F4232"/>
    <w:rsid w:val="004F42FB"/>
    <w:rsid w:val="004F4FA6"/>
    <w:rsid w:val="004F5163"/>
    <w:rsid w:val="004F57B0"/>
    <w:rsid w:val="004F65E3"/>
    <w:rsid w:val="004F6F7E"/>
    <w:rsid w:val="004F754D"/>
    <w:rsid w:val="004F7C46"/>
    <w:rsid w:val="004F7CCC"/>
    <w:rsid w:val="005009AA"/>
    <w:rsid w:val="00500DB0"/>
    <w:rsid w:val="00501740"/>
    <w:rsid w:val="00501889"/>
    <w:rsid w:val="00501921"/>
    <w:rsid w:val="00502588"/>
    <w:rsid w:val="00502A6F"/>
    <w:rsid w:val="00502D4D"/>
    <w:rsid w:val="00505135"/>
    <w:rsid w:val="00505331"/>
    <w:rsid w:val="0050538B"/>
    <w:rsid w:val="00505738"/>
    <w:rsid w:val="00505796"/>
    <w:rsid w:val="00505926"/>
    <w:rsid w:val="00505D79"/>
    <w:rsid w:val="00506780"/>
    <w:rsid w:val="005067A4"/>
    <w:rsid w:val="005068BD"/>
    <w:rsid w:val="00506E27"/>
    <w:rsid w:val="005071C2"/>
    <w:rsid w:val="0050770B"/>
    <w:rsid w:val="00507BFB"/>
    <w:rsid w:val="0051008E"/>
    <w:rsid w:val="0051015C"/>
    <w:rsid w:val="00510AC4"/>
    <w:rsid w:val="00510FB1"/>
    <w:rsid w:val="00511BB8"/>
    <w:rsid w:val="00511DAB"/>
    <w:rsid w:val="00511EE4"/>
    <w:rsid w:val="00511F05"/>
    <w:rsid w:val="0051285F"/>
    <w:rsid w:val="0051289F"/>
    <w:rsid w:val="00512D2F"/>
    <w:rsid w:val="005139D0"/>
    <w:rsid w:val="00513DF5"/>
    <w:rsid w:val="00513E6D"/>
    <w:rsid w:val="005149E3"/>
    <w:rsid w:val="0051501E"/>
    <w:rsid w:val="00516292"/>
    <w:rsid w:val="005166DF"/>
    <w:rsid w:val="00517339"/>
    <w:rsid w:val="005173E2"/>
    <w:rsid w:val="00517C35"/>
    <w:rsid w:val="00517D5F"/>
    <w:rsid w:val="00520E4A"/>
    <w:rsid w:val="005211CF"/>
    <w:rsid w:val="0052181B"/>
    <w:rsid w:val="005219A6"/>
    <w:rsid w:val="00522E35"/>
    <w:rsid w:val="00523078"/>
    <w:rsid w:val="0052319D"/>
    <w:rsid w:val="00523785"/>
    <w:rsid w:val="00523DE5"/>
    <w:rsid w:val="00524731"/>
    <w:rsid w:val="00524F58"/>
    <w:rsid w:val="0052574E"/>
    <w:rsid w:val="0052603B"/>
    <w:rsid w:val="005262F3"/>
    <w:rsid w:val="005265C1"/>
    <w:rsid w:val="0052683A"/>
    <w:rsid w:val="005268B1"/>
    <w:rsid w:val="00526D5E"/>
    <w:rsid w:val="005312EA"/>
    <w:rsid w:val="0053140B"/>
    <w:rsid w:val="00531DE7"/>
    <w:rsid w:val="0053276C"/>
    <w:rsid w:val="005327D0"/>
    <w:rsid w:val="00532B9C"/>
    <w:rsid w:val="00533045"/>
    <w:rsid w:val="0053355B"/>
    <w:rsid w:val="005335B6"/>
    <w:rsid w:val="00534944"/>
    <w:rsid w:val="00535F52"/>
    <w:rsid w:val="0053603D"/>
    <w:rsid w:val="0053618D"/>
    <w:rsid w:val="00536210"/>
    <w:rsid w:val="00536BCC"/>
    <w:rsid w:val="00536DBB"/>
    <w:rsid w:val="00537A42"/>
    <w:rsid w:val="00537E67"/>
    <w:rsid w:val="00537ED3"/>
    <w:rsid w:val="0054035D"/>
    <w:rsid w:val="005404F1"/>
    <w:rsid w:val="00540596"/>
    <w:rsid w:val="00540B58"/>
    <w:rsid w:val="005410A9"/>
    <w:rsid w:val="005411A3"/>
    <w:rsid w:val="005415E9"/>
    <w:rsid w:val="005417CC"/>
    <w:rsid w:val="00542158"/>
    <w:rsid w:val="005428F3"/>
    <w:rsid w:val="00542AB5"/>
    <w:rsid w:val="00542D52"/>
    <w:rsid w:val="00542DFA"/>
    <w:rsid w:val="005435F2"/>
    <w:rsid w:val="00543B72"/>
    <w:rsid w:val="00543FA2"/>
    <w:rsid w:val="005442F1"/>
    <w:rsid w:val="005445CA"/>
    <w:rsid w:val="0054550D"/>
    <w:rsid w:val="00545C75"/>
    <w:rsid w:val="00545D39"/>
    <w:rsid w:val="00546120"/>
    <w:rsid w:val="005468C6"/>
    <w:rsid w:val="00546B7E"/>
    <w:rsid w:val="005473F5"/>
    <w:rsid w:val="00550BB1"/>
    <w:rsid w:val="00551E51"/>
    <w:rsid w:val="0055286F"/>
    <w:rsid w:val="005529A2"/>
    <w:rsid w:val="00553CB4"/>
    <w:rsid w:val="00553DB0"/>
    <w:rsid w:val="00553E22"/>
    <w:rsid w:val="00553F38"/>
    <w:rsid w:val="00553F8F"/>
    <w:rsid w:val="00554A86"/>
    <w:rsid w:val="005551C0"/>
    <w:rsid w:val="00555E9C"/>
    <w:rsid w:val="005566EE"/>
    <w:rsid w:val="00556C02"/>
    <w:rsid w:val="00556ED5"/>
    <w:rsid w:val="00557074"/>
    <w:rsid w:val="005570C0"/>
    <w:rsid w:val="0055774D"/>
    <w:rsid w:val="00560694"/>
    <w:rsid w:val="00560B1A"/>
    <w:rsid w:val="00560B9B"/>
    <w:rsid w:val="00561BEB"/>
    <w:rsid w:val="00561C1F"/>
    <w:rsid w:val="005628A3"/>
    <w:rsid w:val="00562A18"/>
    <w:rsid w:val="00562A4C"/>
    <w:rsid w:val="00562E62"/>
    <w:rsid w:val="00564322"/>
    <w:rsid w:val="00564ECD"/>
    <w:rsid w:val="0056529E"/>
    <w:rsid w:val="0056530C"/>
    <w:rsid w:val="0056599C"/>
    <w:rsid w:val="00566001"/>
    <w:rsid w:val="005660EB"/>
    <w:rsid w:val="00566609"/>
    <w:rsid w:val="00566FD3"/>
    <w:rsid w:val="00567287"/>
    <w:rsid w:val="00567446"/>
    <w:rsid w:val="00567D50"/>
    <w:rsid w:val="00570127"/>
    <w:rsid w:val="00570757"/>
    <w:rsid w:val="0057084C"/>
    <w:rsid w:val="00570991"/>
    <w:rsid w:val="00570A90"/>
    <w:rsid w:val="005710F1"/>
    <w:rsid w:val="00571405"/>
    <w:rsid w:val="005714A0"/>
    <w:rsid w:val="00571A3C"/>
    <w:rsid w:val="00571A63"/>
    <w:rsid w:val="00571A93"/>
    <w:rsid w:val="005724BC"/>
    <w:rsid w:val="005724D8"/>
    <w:rsid w:val="005727ED"/>
    <w:rsid w:val="005728CD"/>
    <w:rsid w:val="00573179"/>
    <w:rsid w:val="00573796"/>
    <w:rsid w:val="00574846"/>
    <w:rsid w:val="00574EFA"/>
    <w:rsid w:val="005751B1"/>
    <w:rsid w:val="00575301"/>
    <w:rsid w:val="0057556A"/>
    <w:rsid w:val="00576526"/>
    <w:rsid w:val="005765AB"/>
    <w:rsid w:val="00576CA9"/>
    <w:rsid w:val="00576FE4"/>
    <w:rsid w:val="005770D6"/>
    <w:rsid w:val="00577149"/>
    <w:rsid w:val="00577569"/>
    <w:rsid w:val="00577795"/>
    <w:rsid w:val="0058051A"/>
    <w:rsid w:val="00580581"/>
    <w:rsid w:val="00580B4C"/>
    <w:rsid w:val="00580DB3"/>
    <w:rsid w:val="0058103E"/>
    <w:rsid w:val="005811D3"/>
    <w:rsid w:val="0058162E"/>
    <w:rsid w:val="0058209F"/>
    <w:rsid w:val="005831AB"/>
    <w:rsid w:val="0058338A"/>
    <w:rsid w:val="0058338F"/>
    <w:rsid w:val="005833AA"/>
    <w:rsid w:val="00583400"/>
    <w:rsid w:val="00583412"/>
    <w:rsid w:val="00583728"/>
    <w:rsid w:val="00583C79"/>
    <w:rsid w:val="00583F38"/>
    <w:rsid w:val="00584741"/>
    <w:rsid w:val="00584A2D"/>
    <w:rsid w:val="00584BFE"/>
    <w:rsid w:val="00584CFA"/>
    <w:rsid w:val="00584DAE"/>
    <w:rsid w:val="00585125"/>
    <w:rsid w:val="005858E3"/>
    <w:rsid w:val="00585EBB"/>
    <w:rsid w:val="00585F8A"/>
    <w:rsid w:val="00586026"/>
    <w:rsid w:val="0058637E"/>
    <w:rsid w:val="00586D8D"/>
    <w:rsid w:val="005875FA"/>
    <w:rsid w:val="00587D97"/>
    <w:rsid w:val="00590336"/>
    <w:rsid w:val="005906C1"/>
    <w:rsid w:val="005906FF"/>
    <w:rsid w:val="00590719"/>
    <w:rsid w:val="0059078A"/>
    <w:rsid w:val="00590C11"/>
    <w:rsid w:val="00591EBA"/>
    <w:rsid w:val="0059234E"/>
    <w:rsid w:val="005923B1"/>
    <w:rsid w:val="00592B50"/>
    <w:rsid w:val="00593472"/>
    <w:rsid w:val="00593952"/>
    <w:rsid w:val="00594AA7"/>
    <w:rsid w:val="005961A4"/>
    <w:rsid w:val="00596811"/>
    <w:rsid w:val="0059685F"/>
    <w:rsid w:val="005969FF"/>
    <w:rsid w:val="00596DE1"/>
    <w:rsid w:val="00597449"/>
    <w:rsid w:val="0059769A"/>
    <w:rsid w:val="00597AAE"/>
    <w:rsid w:val="00597AFF"/>
    <w:rsid w:val="005A01A0"/>
    <w:rsid w:val="005A04AA"/>
    <w:rsid w:val="005A0A29"/>
    <w:rsid w:val="005A110F"/>
    <w:rsid w:val="005A1132"/>
    <w:rsid w:val="005A1229"/>
    <w:rsid w:val="005A1353"/>
    <w:rsid w:val="005A1478"/>
    <w:rsid w:val="005A1840"/>
    <w:rsid w:val="005A20F1"/>
    <w:rsid w:val="005A2681"/>
    <w:rsid w:val="005A2844"/>
    <w:rsid w:val="005A2EA6"/>
    <w:rsid w:val="005A353C"/>
    <w:rsid w:val="005A38BD"/>
    <w:rsid w:val="005A3B6A"/>
    <w:rsid w:val="005A3C30"/>
    <w:rsid w:val="005A3F1D"/>
    <w:rsid w:val="005A466B"/>
    <w:rsid w:val="005A4EE7"/>
    <w:rsid w:val="005A53F1"/>
    <w:rsid w:val="005A629D"/>
    <w:rsid w:val="005A65B0"/>
    <w:rsid w:val="005A6B03"/>
    <w:rsid w:val="005B03D5"/>
    <w:rsid w:val="005B0980"/>
    <w:rsid w:val="005B11DF"/>
    <w:rsid w:val="005B1659"/>
    <w:rsid w:val="005B260F"/>
    <w:rsid w:val="005B2773"/>
    <w:rsid w:val="005B3015"/>
    <w:rsid w:val="005B349D"/>
    <w:rsid w:val="005B3923"/>
    <w:rsid w:val="005B43E3"/>
    <w:rsid w:val="005B4E2B"/>
    <w:rsid w:val="005B5105"/>
    <w:rsid w:val="005B52B7"/>
    <w:rsid w:val="005B5419"/>
    <w:rsid w:val="005B5952"/>
    <w:rsid w:val="005B6298"/>
    <w:rsid w:val="005B6740"/>
    <w:rsid w:val="005B711A"/>
    <w:rsid w:val="005B760B"/>
    <w:rsid w:val="005B77B3"/>
    <w:rsid w:val="005B78F7"/>
    <w:rsid w:val="005B7939"/>
    <w:rsid w:val="005B7BB8"/>
    <w:rsid w:val="005B7EA8"/>
    <w:rsid w:val="005C00C3"/>
    <w:rsid w:val="005C0F48"/>
    <w:rsid w:val="005C0F65"/>
    <w:rsid w:val="005C1881"/>
    <w:rsid w:val="005C1B04"/>
    <w:rsid w:val="005C1D9A"/>
    <w:rsid w:val="005C250D"/>
    <w:rsid w:val="005C25DB"/>
    <w:rsid w:val="005C27C6"/>
    <w:rsid w:val="005C3868"/>
    <w:rsid w:val="005C39C5"/>
    <w:rsid w:val="005C3C71"/>
    <w:rsid w:val="005C3CD4"/>
    <w:rsid w:val="005C4871"/>
    <w:rsid w:val="005C4D26"/>
    <w:rsid w:val="005C51D2"/>
    <w:rsid w:val="005C6048"/>
    <w:rsid w:val="005C626B"/>
    <w:rsid w:val="005C6B79"/>
    <w:rsid w:val="005C6E0F"/>
    <w:rsid w:val="005C6FD0"/>
    <w:rsid w:val="005C7028"/>
    <w:rsid w:val="005C7738"/>
    <w:rsid w:val="005C773E"/>
    <w:rsid w:val="005C7E6F"/>
    <w:rsid w:val="005D006C"/>
    <w:rsid w:val="005D0D46"/>
    <w:rsid w:val="005D0F79"/>
    <w:rsid w:val="005D10C0"/>
    <w:rsid w:val="005D1323"/>
    <w:rsid w:val="005D2468"/>
    <w:rsid w:val="005D2E39"/>
    <w:rsid w:val="005D3405"/>
    <w:rsid w:val="005D36CD"/>
    <w:rsid w:val="005D374F"/>
    <w:rsid w:val="005D38EC"/>
    <w:rsid w:val="005D3C71"/>
    <w:rsid w:val="005D3F63"/>
    <w:rsid w:val="005D4BD4"/>
    <w:rsid w:val="005D4D66"/>
    <w:rsid w:val="005D50E7"/>
    <w:rsid w:val="005D5138"/>
    <w:rsid w:val="005D5CA1"/>
    <w:rsid w:val="005D5DBF"/>
    <w:rsid w:val="005D6055"/>
    <w:rsid w:val="005D6884"/>
    <w:rsid w:val="005D6B08"/>
    <w:rsid w:val="005D6F01"/>
    <w:rsid w:val="005D720D"/>
    <w:rsid w:val="005D72E2"/>
    <w:rsid w:val="005D7492"/>
    <w:rsid w:val="005D7633"/>
    <w:rsid w:val="005D77EC"/>
    <w:rsid w:val="005D7840"/>
    <w:rsid w:val="005D7A5C"/>
    <w:rsid w:val="005E0973"/>
    <w:rsid w:val="005E0B75"/>
    <w:rsid w:val="005E1CB6"/>
    <w:rsid w:val="005E1E6D"/>
    <w:rsid w:val="005E2802"/>
    <w:rsid w:val="005E2A07"/>
    <w:rsid w:val="005E2C07"/>
    <w:rsid w:val="005E3B84"/>
    <w:rsid w:val="005E3EF8"/>
    <w:rsid w:val="005E4516"/>
    <w:rsid w:val="005E484D"/>
    <w:rsid w:val="005E5013"/>
    <w:rsid w:val="005E59D2"/>
    <w:rsid w:val="005E5AD9"/>
    <w:rsid w:val="005E5B1F"/>
    <w:rsid w:val="005E6264"/>
    <w:rsid w:val="005E6448"/>
    <w:rsid w:val="005E669D"/>
    <w:rsid w:val="005E705B"/>
    <w:rsid w:val="005E7395"/>
    <w:rsid w:val="005E7498"/>
    <w:rsid w:val="005E759E"/>
    <w:rsid w:val="005E7D69"/>
    <w:rsid w:val="005E7E51"/>
    <w:rsid w:val="005F0452"/>
    <w:rsid w:val="005F0877"/>
    <w:rsid w:val="005F0D13"/>
    <w:rsid w:val="005F1374"/>
    <w:rsid w:val="005F16BD"/>
    <w:rsid w:val="005F1841"/>
    <w:rsid w:val="005F188D"/>
    <w:rsid w:val="005F2D08"/>
    <w:rsid w:val="005F4443"/>
    <w:rsid w:val="005F48A6"/>
    <w:rsid w:val="005F4FA6"/>
    <w:rsid w:val="005F5FCA"/>
    <w:rsid w:val="005F61F0"/>
    <w:rsid w:val="005F7D7B"/>
    <w:rsid w:val="00600096"/>
    <w:rsid w:val="00600369"/>
    <w:rsid w:val="006007C8"/>
    <w:rsid w:val="00600C20"/>
    <w:rsid w:val="00600D4B"/>
    <w:rsid w:val="006012C7"/>
    <w:rsid w:val="00601634"/>
    <w:rsid w:val="00601F07"/>
    <w:rsid w:val="00601F57"/>
    <w:rsid w:val="0060238F"/>
    <w:rsid w:val="00602819"/>
    <w:rsid w:val="00602B3F"/>
    <w:rsid w:val="00602FCF"/>
    <w:rsid w:val="00603A7F"/>
    <w:rsid w:val="00604057"/>
    <w:rsid w:val="0060417C"/>
    <w:rsid w:val="00604180"/>
    <w:rsid w:val="00604232"/>
    <w:rsid w:val="006046C8"/>
    <w:rsid w:val="00605D3A"/>
    <w:rsid w:val="00610D0C"/>
    <w:rsid w:val="00611529"/>
    <w:rsid w:val="00611703"/>
    <w:rsid w:val="00611F44"/>
    <w:rsid w:val="0061308C"/>
    <w:rsid w:val="00613376"/>
    <w:rsid w:val="00613D4C"/>
    <w:rsid w:val="00613F69"/>
    <w:rsid w:val="00613FC2"/>
    <w:rsid w:val="0061403B"/>
    <w:rsid w:val="006147DD"/>
    <w:rsid w:val="00615270"/>
    <w:rsid w:val="006159ED"/>
    <w:rsid w:val="006171CD"/>
    <w:rsid w:val="00617679"/>
    <w:rsid w:val="006178CD"/>
    <w:rsid w:val="0062126D"/>
    <w:rsid w:val="00621DA8"/>
    <w:rsid w:val="00621DDD"/>
    <w:rsid w:val="00621F54"/>
    <w:rsid w:val="00622EAF"/>
    <w:rsid w:val="006237CD"/>
    <w:rsid w:val="00623920"/>
    <w:rsid w:val="00623C6B"/>
    <w:rsid w:val="0062400B"/>
    <w:rsid w:val="006255B1"/>
    <w:rsid w:val="006264F9"/>
    <w:rsid w:val="00626590"/>
    <w:rsid w:val="00626917"/>
    <w:rsid w:val="0062742C"/>
    <w:rsid w:val="006277B7"/>
    <w:rsid w:val="00627C16"/>
    <w:rsid w:val="006300C8"/>
    <w:rsid w:val="00630AC8"/>
    <w:rsid w:val="0063105E"/>
    <w:rsid w:val="00631DCF"/>
    <w:rsid w:val="00632D1C"/>
    <w:rsid w:val="006336C5"/>
    <w:rsid w:val="00633C46"/>
    <w:rsid w:val="00633CBD"/>
    <w:rsid w:val="00633FE0"/>
    <w:rsid w:val="00634669"/>
    <w:rsid w:val="00634704"/>
    <w:rsid w:val="006349C9"/>
    <w:rsid w:val="00635967"/>
    <w:rsid w:val="006360DF"/>
    <w:rsid w:val="006361BF"/>
    <w:rsid w:val="00636273"/>
    <w:rsid w:val="0063642D"/>
    <w:rsid w:val="00637829"/>
    <w:rsid w:val="00637FAA"/>
    <w:rsid w:val="00640154"/>
    <w:rsid w:val="00640930"/>
    <w:rsid w:val="00640B14"/>
    <w:rsid w:val="00640C46"/>
    <w:rsid w:val="00641BCF"/>
    <w:rsid w:val="00641F9E"/>
    <w:rsid w:val="006423E0"/>
    <w:rsid w:val="00642B04"/>
    <w:rsid w:val="00642EDF"/>
    <w:rsid w:val="006431CE"/>
    <w:rsid w:val="00643605"/>
    <w:rsid w:val="00643B38"/>
    <w:rsid w:val="00643D6D"/>
    <w:rsid w:val="00643E81"/>
    <w:rsid w:val="00644324"/>
    <w:rsid w:val="0064464B"/>
    <w:rsid w:val="00644C75"/>
    <w:rsid w:val="006452EC"/>
    <w:rsid w:val="00645C1E"/>
    <w:rsid w:val="00647263"/>
    <w:rsid w:val="006475C7"/>
    <w:rsid w:val="00647FB9"/>
    <w:rsid w:val="00650185"/>
    <w:rsid w:val="00650451"/>
    <w:rsid w:val="00650C93"/>
    <w:rsid w:val="006512E8"/>
    <w:rsid w:val="00651A54"/>
    <w:rsid w:val="006523DC"/>
    <w:rsid w:val="006525FE"/>
    <w:rsid w:val="006530FF"/>
    <w:rsid w:val="006532DA"/>
    <w:rsid w:val="0065357F"/>
    <w:rsid w:val="006545CC"/>
    <w:rsid w:val="00654604"/>
    <w:rsid w:val="00654D5B"/>
    <w:rsid w:val="006554FA"/>
    <w:rsid w:val="006555D5"/>
    <w:rsid w:val="00655958"/>
    <w:rsid w:val="00655C2A"/>
    <w:rsid w:val="00656DC0"/>
    <w:rsid w:val="006602EC"/>
    <w:rsid w:val="006608C9"/>
    <w:rsid w:val="00660C5A"/>
    <w:rsid w:val="00660F3C"/>
    <w:rsid w:val="0066106C"/>
    <w:rsid w:val="00661BC6"/>
    <w:rsid w:val="00662251"/>
    <w:rsid w:val="00662B53"/>
    <w:rsid w:val="00662EA1"/>
    <w:rsid w:val="00663BAE"/>
    <w:rsid w:val="00663ED3"/>
    <w:rsid w:val="00663FD6"/>
    <w:rsid w:val="00664A9A"/>
    <w:rsid w:val="00664FCD"/>
    <w:rsid w:val="00665396"/>
    <w:rsid w:val="006654DD"/>
    <w:rsid w:val="006656F9"/>
    <w:rsid w:val="00665A7F"/>
    <w:rsid w:val="00665D45"/>
    <w:rsid w:val="00666C55"/>
    <w:rsid w:val="00666C7F"/>
    <w:rsid w:val="006670E5"/>
    <w:rsid w:val="00667176"/>
    <w:rsid w:val="006672E1"/>
    <w:rsid w:val="0066740D"/>
    <w:rsid w:val="0066775A"/>
    <w:rsid w:val="0066797C"/>
    <w:rsid w:val="00667FBD"/>
    <w:rsid w:val="006708FE"/>
    <w:rsid w:val="00671420"/>
    <w:rsid w:val="00671766"/>
    <w:rsid w:val="00671952"/>
    <w:rsid w:val="00671BC7"/>
    <w:rsid w:val="00672C6F"/>
    <w:rsid w:val="00672C89"/>
    <w:rsid w:val="006733FA"/>
    <w:rsid w:val="00674527"/>
    <w:rsid w:val="0067531A"/>
    <w:rsid w:val="0067538B"/>
    <w:rsid w:val="006758FA"/>
    <w:rsid w:val="00676248"/>
    <w:rsid w:val="00677E52"/>
    <w:rsid w:val="0068038F"/>
    <w:rsid w:val="0068048B"/>
    <w:rsid w:val="00680F36"/>
    <w:rsid w:val="00681824"/>
    <w:rsid w:val="006827B1"/>
    <w:rsid w:val="0068292E"/>
    <w:rsid w:val="00682943"/>
    <w:rsid w:val="00682A4F"/>
    <w:rsid w:val="006839A5"/>
    <w:rsid w:val="00684330"/>
    <w:rsid w:val="006843AB"/>
    <w:rsid w:val="00684447"/>
    <w:rsid w:val="00684BC6"/>
    <w:rsid w:val="006854A1"/>
    <w:rsid w:val="00685BCE"/>
    <w:rsid w:val="00685FB0"/>
    <w:rsid w:val="006866AC"/>
    <w:rsid w:val="00686716"/>
    <w:rsid w:val="0068703A"/>
    <w:rsid w:val="006873B2"/>
    <w:rsid w:val="0068746E"/>
    <w:rsid w:val="0068773F"/>
    <w:rsid w:val="00687813"/>
    <w:rsid w:val="00687BBA"/>
    <w:rsid w:val="0069001C"/>
    <w:rsid w:val="006901D3"/>
    <w:rsid w:val="006907B1"/>
    <w:rsid w:val="00690D85"/>
    <w:rsid w:val="0069125E"/>
    <w:rsid w:val="006913A5"/>
    <w:rsid w:val="0069198F"/>
    <w:rsid w:val="006920C5"/>
    <w:rsid w:val="00692359"/>
    <w:rsid w:val="00692863"/>
    <w:rsid w:val="00692BD5"/>
    <w:rsid w:val="00693643"/>
    <w:rsid w:val="00693965"/>
    <w:rsid w:val="006944F3"/>
    <w:rsid w:val="00694FB3"/>
    <w:rsid w:val="006951BF"/>
    <w:rsid w:val="00695E2D"/>
    <w:rsid w:val="00696589"/>
    <w:rsid w:val="0069698E"/>
    <w:rsid w:val="006973A8"/>
    <w:rsid w:val="006A0404"/>
    <w:rsid w:val="006A07EB"/>
    <w:rsid w:val="006A081E"/>
    <w:rsid w:val="006A09DD"/>
    <w:rsid w:val="006A0A57"/>
    <w:rsid w:val="006A129A"/>
    <w:rsid w:val="006A145F"/>
    <w:rsid w:val="006A17DD"/>
    <w:rsid w:val="006A188F"/>
    <w:rsid w:val="006A21C0"/>
    <w:rsid w:val="006A27E3"/>
    <w:rsid w:val="006A2A1B"/>
    <w:rsid w:val="006A3AE0"/>
    <w:rsid w:val="006A4262"/>
    <w:rsid w:val="006A4782"/>
    <w:rsid w:val="006A4A47"/>
    <w:rsid w:val="006A4BF8"/>
    <w:rsid w:val="006A4FC5"/>
    <w:rsid w:val="006A509E"/>
    <w:rsid w:val="006A5842"/>
    <w:rsid w:val="006A59F7"/>
    <w:rsid w:val="006A5CAA"/>
    <w:rsid w:val="006A5E4A"/>
    <w:rsid w:val="006A5FCF"/>
    <w:rsid w:val="006A6039"/>
    <w:rsid w:val="006A6876"/>
    <w:rsid w:val="006A6A2D"/>
    <w:rsid w:val="006A6DAA"/>
    <w:rsid w:val="006A6DAB"/>
    <w:rsid w:val="006A70F4"/>
    <w:rsid w:val="006A760D"/>
    <w:rsid w:val="006B06B8"/>
    <w:rsid w:val="006B0B57"/>
    <w:rsid w:val="006B0C0D"/>
    <w:rsid w:val="006B0EB7"/>
    <w:rsid w:val="006B1B55"/>
    <w:rsid w:val="006B1D9B"/>
    <w:rsid w:val="006B1F31"/>
    <w:rsid w:val="006B2920"/>
    <w:rsid w:val="006B2C23"/>
    <w:rsid w:val="006B2E14"/>
    <w:rsid w:val="006B31D0"/>
    <w:rsid w:val="006B50A3"/>
    <w:rsid w:val="006B5188"/>
    <w:rsid w:val="006B59DB"/>
    <w:rsid w:val="006B5D9D"/>
    <w:rsid w:val="006B5DFE"/>
    <w:rsid w:val="006B66C6"/>
    <w:rsid w:val="006B6793"/>
    <w:rsid w:val="006B6809"/>
    <w:rsid w:val="006B689F"/>
    <w:rsid w:val="006B6BCF"/>
    <w:rsid w:val="006B745D"/>
    <w:rsid w:val="006B7F5E"/>
    <w:rsid w:val="006C099F"/>
    <w:rsid w:val="006C0A48"/>
    <w:rsid w:val="006C0B16"/>
    <w:rsid w:val="006C1E96"/>
    <w:rsid w:val="006C2833"/>
    <w:rsid w:val="006C29BF"/>
    <w:rsid w:val="006C35E9"/>
    <w:rsid w:val="006C3625"/>
    <w:rsid w:val="006C3784"/>
    <w:rsid w:val="006C385E"/>
    <w:rsid w:val="006C3E7F"/>
    <w:rsid w:val="006C402C"/>
    <w:rsid w:val="006C424B"/>
    <w:rsid w:val="006C4993"/>
    <w:rsid w:val="006C56E0"/>
    <w:rsid w:val="006C59DC"/>
    <w:rsid w:val="006C5C39"/>
    <w:rsid w:val="006C6657"/>
    <w:rsid w:val="006C68B7"/>
    <w:rsid w:val="006C6A1B"/>
    <w:rsid w:val="006C6E02"/>
    <w:rsid w:val="006C6ECF"/>
    <w:rsid w:val="006C6F09"/>
    <w:rsid w:val="006C78A6"/>
    <w:rsid w:val="006C7CFA"/>
    <w:rsid w:val="006D0200"/>
    <w:rsid w:val="006D05F3"/>
    <w:rsid w:val="006D0B3F"/>
    <w:rsid w:val="006D0E37"/>
    <w:rsid w:val="006D12FD"/>
    <w:rsid w:val="006D1462"/>
    <w:rsid w:val="006D15F5"/>
    <w:rsid w:val="006D1A6A"/>
    <w:rsid w:val="006D2059"/>
    <w:rsid w:val="006D2367"/>
    <w:rsid w:val="006D2531"/>
    <w:rsid w:val="006D2777"/>
    <w:rsid w:val="006D2E89"/>
    <w:rsid w:val="006D33D8"/>
    <w:rsid w:val="006D340E"/>
    <w:rsid w:val="006D3614"/>
    <w:rsid w:val="006D3F38"/>
    <w:rsid w:val="006D637A"/>
    <w:rsid w:val="006D63B5"/>
    <w:rsid w:val="006D7D5C"/>
    <w:rsid w:val="006E005D"/>
    <w:rsid w:val="006E0172"/>
    <w:rsid w:val="006E0468"/>
    <w:rsid w:val="006E07BA"/>
    <w:rsid w:val="006E07D9"/>
    <w:rsid w:val="006E09CE"/>
    <w:rsid w:val="006E0DF3"/>
    <w:rsid w:val="006E1879"/>
    <w:rsid w:val="006E195B"/>
    <w:rsid w:val="006E1A9F"/>
    <w:rsid w:val="006E2A64"/>
    <w:rsid w:val="006E34A2"/>
    <w:rsid w:val="006E3552"/>
    <w:rsid w:val="006E3599"/>
    <w:rsid w:val="006E37B3"/>
    <w:rsid w:val="006E38D7"/>
    <w:rsid w:val="006E3952"/>
    <w:rsid w:val="006E401A"/>
    <w:rsid w:val="006E47FC"/>
    <w:rsid w:val="006E4D34"/>
    <w:rsid w:val="006E4EEB"/>
    <w:rsid w:val="006E4F0D"/>
    <w:rsid w:val="006E5133"/>
    <w:rsid w:val="006E66DE"/>
    <w:rsid w:val="006E67C4"/>
    <w:rsid w:val="006E6AE3"/>
    <w:rsid w:val="006E705E"/>
    <w:rsid w:val="006E7C4B"/>
    <w:rsid w:val="006E7CDA"/>
    <w:rsid w:val="006F0C2A"/>
    <w:rsid w:val="006F0D77"/>
    <w:rsid w:val="006F0EC4"/>
    <w:rsid w:val="006F0FAC"/>
    <w:rsid w:val="006F1D92"/>
    <w:rsid w:val="006F3671"/>
    <w:rsid w:val="006F37F8"/>
    <w:rsid w:val="006F3B5F"/>
    <w:rsid w:val="006F3D86"/>
    <w:rsid w:val="006F3F8F"/>
    <w:rsid w:val="006F4018"/>
    <w:rsid w:val="006F4541"/>
    <w:rsid w:val="006F4D8D"/>
    <w:rsid w:val="006F4EAC"/>
    <w:rsid w:val="006F5197"/>
    <w:rsid w:val="006F568E"/>
    <w:rsid w:val="006F570E"/>
    <w:rsid w:val="006F58C3"/>
    <w:rsid w:val="006F5D3B"/>
    <w:rsid w:val="006F6379"/>
    <w:rsid w:val="006F69F0"/>
    <w:rsid w:val="006F6DC3"/>
    <w:rsid w:val="006F7319"/>
    <w:rsid w:val="006F7852"/>
    <w:rsid w:val="006F7B12"/>
    <w:rsid w:val="006F7BE3"/>
    <w:rsid w:val="00700198"/>
    <w:rsid w:val="007006D4"/>
    <w:rsid w:val="00700AE9"/>
    <w:rsid w:val="00700FDE"/>
    <w:rsid w:val="007010B1"/>
    <w:rsid w:val="0070128C"/>
    <w:rsid w:val="0070177F"/>
    <w:rsid w:val="007018B2"/>
    <w:rsid w:val="007025A6"/>
    <w:rsid w:val="0070269A"/>
    <w:rsid w:val="00702DF5"/>
    <w:rsid w:val="0070317A"/>
    <w:rsid w:val="0070361F"/>
    <w:rsid w:val="007037FF"/>
    <w:rsid w:val="007038BB"/>
    <w:rsid w:val="00703AA4"/>
    <w:rsid w:val="00704D47"/>
    <w:rsid w:val="00705A06"/>
    <w:rsid w:val="00705A2F"/>
    <w:rsid w:val="00705CFC"/>
    <w:rsid w:val="00706637"/>
    <w:rsid w:val="00706A95"/>
    <w:rsid w:val="00706E82"/>
    <w:rsid w:val="00707B20"/>
    <w:rsid w:val="00707B5E"/>
    <w:rsid w:val="007101D0"/>
    <w:rsid w:val="00710903"/>
    <w:rsid w:val="00710ADD"/>
    <w:rsid w:val="00710B20"/>
    <w:rsid w:val="00710D78"/>
    <w:rsid w:val="00711227"/>
    <w:rsid w:val="00711D96"/>
    <w:rsid w:val="00712E78"/>
    <w:rsid w:val="007130ED"/>
    <w:rsid w:val="0071345A"/>
    <w:rsid w:val="00713FE3"/>
    <w:rsid w:val="00714AEC"/>
    <w:rsid w:val="00714E49"/>
    <w:rsid w:val="00714EBD"/>
    <w:rsid w:val="0071514B"/>
    <w:rsid w:val="007157E9"/>
    <w:rsid w:val="007158DF"/>
    <w:rsid w:val="00715F79"/>
    <w:rsid w:val="00715FE9"/>
    <w:rsid w:val="00716084"/>
    <w:rsid w:val="00716431"/>
    <w:rsid w:val="00716962"/>
    <w:rsid w:val="00716A0A"/>
    <w:rsid w:val="007179E9"/>
    <w:rsid w:val="00717CF8"/>
    <w:rsid w:val="0072088A"/>
    <w:rsid w:val="00720B79"/>
    <w:rsid w:val="00720D43"/>
    <w:rsid w:val="00720DBD"/>
    <w:rsid w:val="00720EC3"/>
    <w:rsid w:val="0072108B"/>
    <w:rsid w:val="00721B82"/>
    <w:rsid w:val="00721FAE"/>
    <w:rsid w:val="00722098"/>
    <w:rsid w:val="0072243F"/>
    <w:rsid w:val="00722AA4"/>
    <w:rsid w:val="00723440"/>
    <w:rsid w:val="00724786"/>
    <w:rsid w:val="00724A53"/>
    <w:rsid w:val="00724A55"/>
    <w:rsid w:val="00724C35"/>
    <w:rsid w:val="00724C5E"/>
    <w:rsid w:val="00725146"/>
    <w:rsid w:val="00726CF7"/>
    <w:rsid w:val="00727521"/>
    <w:rsid w:val="00727587"/>
    <w:rsid w:val="007278AE"/>
    <w:rsid w:val="0073015C"/>
    <w:rsid w:val="00730C04"/>
    <w:rsid w:val="00730F0F"/>
    <w:rsid w:val="00730FEF"/>
    <w:rsid w:val="007314E5"/>
    <w:rsid w:val="00731978"/>
    <w:rsid w:val="00731BC3"/>
    <w:rsid w:val="00731F41"/>
    <w:rsid w:val="007320F9"/>
    <w:rsid w:val="007322FA"/>
    <w:rsid w:val="00732EF9"/>
    <w:rsid w:val="00733304"/>
    <w:rsid w:val="00733BC2"/>
    <w:rsid w:val="0073448F"/>
    <w:rsid w:val="007345E8"/>
    <w:rsid w:val="007353D6"/>
    <w:rsid w:val="00735ADE"/>
    <w:rsid w:val="00735B26"/>
    <w:rsid w:val="0073603C"/>
    <w:rsid w:val="007371D3"/>
    <w:rsid w:val="00737629"/>
    <w:rsid w:val="00737F25"/>
    <w:rsid w:val="007403E6"/>
    <w:rsid w:val="007415BE"/>
    <w:rsid w:val="00741BB1"/>
    <w:rsid w:val="00742937"/>
    <w:rsid w:val="00742B19"/>
    <w:rsid w:val="00742E40"/>
    <w:rsid w:val="00743CF1"/>
    <w:rsid w:val="00743D0A"/>
    <w:rsid w:val="007440A8"/>
    <w:rsid w:val="007441A5"/>
    <w:rsid w:val="0074439A"/>
    <w:rsid w:val="00744AEF"/>
    <w:rsid w:val="007452FA"/>
    <w:rsid w:val="007454F5"/>
    <w:rsid w:val="007455DF"/>
    <w:rsid w:val="007460A3"/>
    <w:rsid w:val="00747276"/>
    <w:rsid w:val="00747344"/>
    <w:rsid w:val="007474FC"/>
    <w:rsid w:val="00750BED"/>
    <w:rsid w:val="00750F7C"/>
    <w:rsid w:val="00750F7D"/>
    <w:rsid w:val="0075184C"/>
    <w:rsid w:val="00752542"/>
    <w:rsid w:val="00752BDC"/>
    <w:rsid w:val="00753330"/>
    <w:rsid w:val="0075417E"/>
    <w:rsid w:val="0075438F"/>
    <w:rsid w:val="00754DAA"/>
    <w:rsid w:val="00756281"/>
    <w:rsid w:val="00756658"/>
    <w:rsid w:val="00756B2B"/>
    <w:rsid w:val="007570C2"/>
    <w:rsid w:val="00757451"/>
    <w:rsid w:val="00760DB9"/>
    <w:rsid w:val="00761799"/>
    <w:rsid w:val="00761DD0"/>
    <w:rsid w:val="00763420"/>
    <w:rsid w:val="0076435B"/>
    <w:rsid w:val="0076549B"/>
    <w:rsid w:val="00765AB4"/>
    <w:rsid w:val="0076645B"/>
    <w:rsid w:val="00766CF8"/>
    <w:rsid w:val="00767695"/>
    <w:rsid w:val="00767E24"/>
    <w:rsid w:val="0077022E"/>
    <w:rsid w:val="00770526"/>
    <w:rsid w:val="00771824"/>
    <w:rsid w:val="00771F79"/>
    <w:rsid w:val="007721CF"/>
    <w:rsid w:val="00772585"/>
    <w:rsid w:val="007729F0"/>
    <w:rsid w:val="007739CF"/>
    <w:rsid w:val="007739F9"/>
    <w:rsid w:val="00773DE4"/>
    <w:rsid w:val="00774200"/>
    <w:rsid w:val="0077464C"/>
    <w:rsid w:val="0077476D"/>
    <w:rsid w:val="00774BAB"/>
    <w:rsid w:val="00775170"/>
    <w:rsid w:val="00775852"/>
    <w:rsid w:val="00776305"/>
    <w:rsid w:val="0077721C"/>
    <w:rsid w:val="00777D04"/>
    <w:rsid w:val="00780282"/>
    <w:rsid w:val="0078043D"/>
    <w:rsid w:val="00780F20"/>
    <w:rsid w:val="007811D8"/>
    <w:rsid w:val="00781F3B"/>
    <w:rsid w:val="00781F63"/>
    <w:rsid w:val="00782165"/>
    <w:rsid w:val="007824D0"/>
    <w:rsid w:val="00782AFB"/>
    <w:rsid w:val="00782DCE"/>
    <w:rsid w:val="007833D1"/>
    <w:rsid w:val="0078342D"/>
    <w:rsid w:val="00783550"/>
    <w:rsid w:val="00783905"/>
    <w:rsid w:val="00783D00"/>
    <w:rsid w:val="00784399"/>
    <w:rsid w:val="00784665"/>
    <w:rsid w:val="00784730"/>
    <w:rsid w:val="0078492B"/>
    <w:rsid w:val="00784A60"/>
    <w:rsid w:val="00784FA7"/>
    <w:rsid w:val="00785488"/>
    <w:rsid w:val="007857D4"/>
    <w:rsid w:val="00785AF4"/>
    <w:rsid w:val="00785AFA"/>
    <w:rsid w:val="00785C87"/>
    <w:rsid w:val="00786370"/>
    <w:rsid w:val="00786BFF"/>
    <w:rsid w:val="00787B5C"/>
    <w:rsid w:val="00790749"/>
    <w:rsid w:val="00790BBB"/>
    <w:rsid w:val="00790BC6"/>
    <w:rsid w:val="00790EBE"/>
    <w:rsid w:val="00791ABE"/>
    <w:rsid w:val="00792F09"/>
    <w:rsid w:val="00793D44"/>
    <w:rsid w:val="0079426D"/>
    <w:rsid w:val="00794718"/>
    <w:rsid w:val="007948A5"/>
    <w:rsid w:val="007950D7"/>
    <w:rsid w:val="0079520F"/>
    <w:rsid w:val="007955C6"/>
    <w:rsid w:val="00795ABE"/>
    <w:rsid w:val="00796429"/>
    <w:rsid w:val="00796AAD"/>
    <w:rsid w:val="007972F4"/>
    <w:rsid w:val="00797332"/>
    <w:rsid w:val="00797378"/>
    <w:rsid w:val="007977CE"/>
    <w:rsid w:val="007A024C"/>
    <w:rsid w:val="007A06BD"/>
    <w:rsid w:val="007A0765"/>
    <w:rsid w:val="007A0857"/>
    <w:rsid w:val="007A1173"/>
    <w:rsid w:val="007A153E"/>
    <w:rsid w:val="007A1DC2"/>
    <w:rsid w:val="007A1E59"/>
    <w:rsid w:val="007A2FE3"/>
    <w:rsid w:val="007A3085"/>
    <w:rsid w:val="007A373C"/>
    <w:rsid w:val="007A4167"/>
    <w:rsid w:val="007A45A4"/>
    <w:rsid w:val="007A4683"/>
    <w:rsid w:val="007A5780"/>
    <w:rsid w:val="007A5BE7"/>
    <w:rsid w:val="007A634F"/>
    <w:rsid w:val="007A65F1"/>
    <w:rsid w:val="007A66E6"/>
    <w:rsid w:val="007A6F79"/>
    <w:rsid w:val="007A701D"/>
    <w:rsid w:val="007A7115"/>
    <w:rsid w:val="007A713F"/>
    <w:rsid w:val="007A7185"/>
    <w:rsid w:val="007A7338"/>
    <w:rsid w:val="007A763E"/>
    <w:rsid w:val="007A7666"/>
    <w:rsid w:val="007A788D"/>
    <w:rsid w:val="007B039F"/>
    <w:rsid w:val="007B1269"/>
    <w:rsid w:val="007B160F"/>
    <w:rsid w:val="007B19AC"/>
    <w:rsid w:val="007B1BA2"/>
    <w:rsid w:val="007B1D75"/>
    <w:rsid w:val="007B226D"/>
    <w:rsid w:val="007B3193"/>
    <w:rsid w:val="007B331D"/>
    <w:rsid w:val="007B374C"/>
    <w:rsid w:val="007B3782"/>
    <w:rsid w:val="007B37A2"/>
    <w:rsid w:val="007B3B86"/>
    <w:rsid w:val="007B407D"/>
    <w:rsid w:val="007B4123"/>
    <w:rsid w:val="007B5C90"/>
    <w:rsid w:val="007B6088"/>
    <w:rsid w:val="007B6338"/>
    <w:rsid w:val="007B6620"/>
    <w:rsid w:val="007B762B"/>
    <w:rsid w:val="007C0217"/>
    <w:rsid w:val="007C05B9"/>
    <w:rsid w:val="007C2CC6"/>
    <w:rsid w:val="007C34FD"/>
    <w:rsid w:val="007C3D7B"/>
    <w:rsid w:val="007C41D7"/>
    <w:rsid w:val="007C436B"/>
    <w:rsid w:val="007C4E30"/>
    <w:rsid w:val="007C521A"/>
    <w:rsid w:val="007C56B6"/>
    <w:rsid w:val="007C5CD9"/>
    <w:rsid w:val="007C661D"/>
    <w:rsid w:val="007C67B4"/>
    <w:rsid w:val="007C6816"/>
    <w:rsid w:val="007C683C"/>
    <w:rsid w:val="007C73A8"/>
    <w:rsid w:val="007C7935"/>
    <w:rsid w:val="007C7CBE"/>
    <w:rsid w:val="007D1A67"/>
    <w:rsid w:val="007D2136"/>
    <w:rsid w:val="007D34F7"/>
    <w:rsid w:val="007D3AD3"/>
    <w:rsid w:val="007D413A"/>
    <w:rsid w:val="007D43BE"/>
    <w:rsid w:val="007D4474"/>
    <w:rsid w:val="007D48E8"/>
    <w:rsid w:val="007D4A66"/>
    <w:rsid w:val="007D5B72"/>
    <w:rsid w:val="007D6F56"/>
    <w:rsid w:val="007D70C0"/>
    <w:rsid w:val="007D7142"/>
    <w:rsid w:val="007D740B"/>
    <w:rsid w:val="007D7ACE"/>
    <w:rsid w:val="007D7C71"/>
    <w:rsid w:val="007E0518"/>
    <w:rsid w:val="007E1183"/>
    <w:rsid w:val="007E18ED"/>
    <w:rsid w:val="007E264B"/>
    <w:rsid w:val="007E2B29"/>
    <w:rsid w:val="007E2EB1"/>
    <w:rsid w:val="007E31ED"/>
    <w:rsid w:val="007E33D1"/>
    <w:rsid w:val="007E33D7"/>
    <w:rsid w:val="007E3C2C"/>
    <w:rsid w:val="007E3D1D"/>
    <w:rsid w:val="007E42E6"/>
    <w:rsid w:val="007E4BC2"/>
    <w:rsid w:val="007E53E3"/>
    <w:rsid w:val="007E5AB9"/>
    <w:rsid w:val="007E6285"/>
    <w:rsid w:val="007E62FC"/>
    <w:rsid w:val="007E66F6"/>
    <w:rsid w:val="007E68B3"/>
    <w:rsid w:val="007E6EBB"/>
    <w:rsid w:val="007E77DB"/>
    <w:rsid w:val="007E7D83"/>
    <w:rsid w:val="007F0C5E"/>
    <w:rsid w:val="007F214F"/>
    <w:rsid w:val="007F317E"/>
    <w:rsid w:val="007F32A4"/>
    <w:rsid w:val="007F4502"/>
    <w:rsid w:val="007F5655"/>
    <w:rsid w:val="007F599C"/>
    <w:rsid w:val="007F5A9F"/>
    <w:rsid w:val="007F65DE"/>
    <w:rsid w:val="007F6743"/>
    <w:rsid w:val="007F6A3D"/>
    <w:rsid w:val="007F6B07"/>
    <w:rsid w:val="007F6EEA"/>
    <w:rsid w:val="007F7E43"/>
    <w:rsid w:val="008001B5"/>
    <w:rsid w:val="008003F3"/>
    <w:rsid w:val="008004D5"/>
    <w:rsid w:val="0080080A"/>
    <w:rsid w:val="00800E40"/>
    <w:rsid w:val="0080158A"/>
    <w:rsid w:val="00802FFC"/>
    <w:rsid w:val="00803002"/>
    <w:rsid w:val="008030FA"/>
    <w:rsid w:val="00803956"/>
    <w:rsid w:val="0080395E"/>
    <w:rsid w:val="008040E0"/>
    <w:rsid w:val="00804181"/>
    <w:rsid w:val="008043AA"/>
    <w:rsid w:val="00804478"/>
    <w:rsid w:val="00804791"/>
    <w:rsid w:val="0080664A"/>
    <w:rsid w:val="008072B4"/>
    <w:rsid w:val="0080732A"/>
    <w:rsid w:val="0081001D"/>
    <w:rsid w:val="00810588"/>
    <w:rsid w:val="008116C9"/>
    <w:rsid w:val="008124A4"/>
    <w:rsid w:val="008129DA"/>
    <w:rsid w:val="008131D3"/>
    <w:rsid w:val="00813713"/>
    <w:rsid w:val="00814681"/>
    <w:rsid w:val="0081539A"/>
    <w:rsid w:val="00815846"/>
    <w:rsid w:val="00815DC3"/>
    <w:rsid w:val="0081754B"/>
    <w:rsid w:val="0081769E"/>
    <w:rsid w:val="008179C6"/>
    <w:rsid w:val="008200B8"/>
    <w:rsid w:val="0082101B"/>
    <w:rsid w:val="00821A0E"/>
    <w:rsid w:val="0082299E"/>
    <w:rsid w:val="00822DB0"/>
    <w:rsid w:val="00822EAF"/>
    <w:rsid w:val="00822ECB"/>
    <w:rsid w:val="00823150"/>
    <w:rsid w:val="00823322"/>
    <w:rsid w:val="00823A93"/>
    <w:rsid w:val="00823B55"/>
    <w:rsid w:val="008248DB"/>
    <w:rsid w:val="00824B55"/>
    <w:rsid w:val="00825054"/>
    <w:rsid w:val="008251B2"/>
    <w:rsid w:val="00826CF5"/>
    <w:rsid w:val="00827509"/>
    <w:rsid w:val="00827BA1"/>
    <w:rsid w:val="00832B7D"/>
    <w:rsid w:val="00832C1D"/>
    <w:rsid w:val="008337E4"/>
    <w:rsid w:val="008340BD"/>
    <w:rsid w:val="008343C2"/>
    <w:rsid w:val="00835821"/>
    <w:rsid w:val="00836371"/>
    <w:rsid w:val="0083677F"/>
    <w:rsid w:val="00836BDD"/>
    <w:rsid w:val="00837601"/>
    <w:rsid w:val="00840920"/>
    <w:rsid w:val="00840D09"/>
    <w:rsid w:val="00840D6B"/>
    <w:rsid w:val="0084107A"/>
    <w:rsid w:val="008411CD"/>
    <w:rsid w:val="00841923"/>
    <w:rsid w:val="00841AA0"/>
    <w:rsid w:val="00842515"/>
    <w:rsid w:val="00842631"/>
    <w:rsid w:val="00842FA3"/>
    <w:rsid w:val="00843121"/>
    <w:rsid w:val="00843B36"/>
    <w:rsid w:val="00843BE5"/>
    <w:rsid w:val="00843E41"/>
    <w:rsid w:val="008445C3"/>
    <w:rsid w:val="00844639"/>
    <w:rsid w:val="00845CA8"/>
    <w:rsid w:val="0084615D"/>
    <w:rsid w:val="008461D0"/>
    <w:rsid w:val="0084643B"/>
    <w:rsid w:val="00846892"/>
    <w:rsid w:val="00847409"/>
    <w:rsid w:val="00847826"/>
    <w:rsid w:val="00847FCF"/>
    <w:rsid w:val="00850006"/>
    <w:rsid w:val="00850213"/>
    <w:rsid w:val="00850663"/>
    <w:rsid w:val="00850C10"/>
    <w:rsid w:val="00850CC1"/>
    <w:rsid w:val="00851501"/>
    <w:rsid w:val="008516F3"/>
    <w:rsid w:val="00851BAC"/>
    <w:rsid w:val="00851C2E"/>
    <w:rsid w:val="00851C9B"/>
    <w:rsid w:val="0085214B"/>
    <w:rsid w:val="008524FF"/>
    <w:rsid w:val="0085309E"/>
    <w:rsid w:val="008531A5"/>
    <w:rsid w:val="00853D99"/>
    <w:rsid w:val="00853E90"/>
    <w:rsid w:val="00853EBC"/>
    <w:rsid w:val="008540EF"/>
    <w:rsid w:val="008544F1"/>
    <w:rsid w:val="0085458A"/>
    <w:rsid w:val="00854EB3"/>
    <w:rsid w:val="00855BA9"/>
    <w:rsid w:val="00856738"/>
    <w:rsid w:val="00856787"/>
    <w:rsid w:val="00856AE8"/>
    <w:rsid w:val="008577EF"/>
    <w:rsid w:val="008579FA"/>
    <w:rsid w:val="00860053"/>
    <w:rsid w:val="0086080E"/>
    <w:rsid w:val="00860BA6"/>
    <w:rsid w:val="00860D42"/>
    <w:rsid w:val="00861058"/>
    <w:rsid w:val="008611F8"/>
    <w:rsid w:val="00861BA2"/>
    <w:rsid w:val="00861D66"/>
    <w:rsid w:val="00862B3D"/>
    <w:rsid w:val="00862BDF"/>
    <w:rsid w:val="00862F90"/>
    <w:rsid w:val="0086320E"/>
    <w:rsid w:val="008634C9"/>
    <w:rsid w:val="0086370E"/>
    <w:rsid w:val="00863923"/>
    <w:rsid w:val="00863B6C"/>
    <w:rsid w:val="00863B98"/>
    <w:rsid w:val="00864639"/>
    <w:rsid w:val="00864C0E"/>
    <w:rsid w:val="00864C0F"/>
    <w:rsid w:val="00864FA4"/>
    <w:rsid w:val="00865DBB"/>
    <w:rsid w:val="00865DE0"/>
    <w:rsid w:val="00865FAA"/>
    <w:rsid w:val="00867641"/>
    <w:rsid w:val="008709B0"/>
    <w:rsid w:val="0087101E"/>
    <w:rsid w:val="00871ADE"/>
    <w:rsid w:val="00871B51"/>
    <w:rsid w:val="00871D91"/>
    <w:rsid w:val="00872350"/>
    <w:rsid w:val="008724DE"/>
    <w:rsid w:val="00872AF2"/>
    <w:rsid w:val="008735C3"/>
    <w:rsid w:val="00873B2B"/>
    <w:rsid w:val="008743E7"/>
    <w:rsid w:val="00874838"/>
    <w:rsid w:val="00874884"/>
    <w:rsid w:val="00874CA6"/>
    <w:rsid w:val="00875591"/>
    <w:rsid w:val="008755A3"/>
    <w:rsid w:val="00875DC2"/>
    <w:rsid w:val="00876314"/>
    <w:rsid w:val="00876402"/>
    <w:rsid w:val="008773E7"/>
    <w:rsid w:val="0088004A"/>
    <w:rsid w:val="00881813"/>
    <w:rsid w:val="0088192E"/>
    <w:rsid w:val="00882335"/>
    <w:rsid w:val="00882B8E"/>
    <w:rsid w:val="008852B8"/>
    <w:rsid w:val="0088553E"/>
    <w:rsid w:val="0088592A"/>
    <w:rsid w:val="00885F04"/>
    <w:rsid w:val="008861A5"/>
    <w:rsid w:val="00886710"/>
    <w:rsid w:val="00886DE9"/>
    <w:rsid w:val="008872D7"/>
    <w:rsid w:val="008877FD"/>
    <w:rsid w:val="00887B57"/>
    <w:rsid w:val="0089028F"/>
    <w:rsid w:val="00890BDA"/>
    <w:rsid w:val="0089105A"/>
    <w:rsid w:val="008918EA"/>
    <w:rsid w:val="00892192"/>
    <w:rsid w:val="008922F9"/>
    <w:rsid w:val="00892368"/>
    <w:rsid w:val="00892907"/>
    <w:rsid w:val="0089322A"/>
    <w:rsid w:val="008936FD"/>
    <w:rsid w:val="00893D44"/>
    <w:rsid w:val="00894CF5"/>
    <w:rsid w:val="00894E74"/>
    <w:rsid w:val="0089534C"/>
    <w:rsid w:val="00895543"/>
    <w:rsid w:val="008958CB"/>
    <w:rsid w:val="00895A09"/>
    <w:rsid w:val="00896202"/>
    <w:rsid w:val="0089691A"/>
    <w:rsid w:val="00897632"/>
    <w:rsid w:val="0089791C"/>
    <w:rsid w:val="008A039D"/>
    <w:rsid w:val="008A0CB1"/>
    <w:rsid w:val="008A0CB8"/>
    <w:rsid w:val="008A1174"/>
    <w:rsid w:val="008A230E"/>
    <w:rsid w:val="008A2D4D"/>
    <w:rsid w:val="008A3387"/>
    <w:rsid w:val="008A3618"/>
    <w:rsid w:val="008A4491"/>
    <w:rsid w:val="008A5928"/>
    <w:rsid w:val="008A5960"/>
    <w:rsid w:val="008A6336"/>
    <w:rsid w:val="008A6514"/>
    <w:rsid w:val="008A6812"/>
    <w:rsid w:val="008A70EB"/>
    <w:rsid w:val="008A7E6B"/>
    <w:rsid w:val="008A7E8A"/>
    <w:rsid w:val="008B0E22"/>
    <w:rsid w:val="008B1479"/>
    <w:rsid w:val="008B16A0"/>
    <w:rsid w:val="008B1A58"/>
    <w:rsid w:val="008B1B2F"/>
    <w:rsid w:val="008B1CBD"/>
    <w:rsid w:val="008B281B"/>
    <w:rsid w:val="008B2BB6"/>
    <w:rsid w:val="008B2C2C"/>
    <w:rsid w:val="008B2C90"/>
    <w:rsid w:val="008B2E2D"/>
    <w:rsid w:val="008B30A0"/>
    <w:rsid w:val="008B34C2"/>
    <w:rsid w:val="008B356E"/>
    <w:rsid w:val="008B358E"/>
    <w:rsid w:val="008B36D2"/>
    <w:rsid w:val="008B47AD"/>
    <w:rsid w:val="008B4A23"/>
    <w:rsid w:val="008B51E4"/>
    <w:rsid w:val="008B5285"/>
    <w:rsid w:val="008B55B0"/>
    <w:rsid w:val="008B5C2D"/>
    <w:rsid w:val="008B5D4D"/>
    <w:rsid w:val="008B5E31"/>
    <w:rsid w:val="008B5F3D"/>
    <w:rsid w:val="008B5F84"/>
    <w:rsid w:val="008B643D"/>
    <w:rsid w:val="008B687E"/>
    <w:rsid w:val="008B7E85"/>
    <w:rsid w:val="008C014B"/>
    <w:rsid w:val="008C05F4"/>
    <w:rsid w:val="008C16D7"/>
    <w:rsid w:val="008C1827"/>
    <w:rsid w:val="008C192D"/>
    <w:rsid w:val="008C338C"/>
    <w:rsid w:val="008C3B97"/>
    <w:rsid w:val="008C412F"/>
    <w:rsid w:val="008C48A7"/>
    <w:rsid w:val="008C4B88"/>
    <w:rsid w:val="008C5755"/>
    <w:rsid w:val="008C59A3"/>
    <w:rsid w:val="008C60EA"/>
    <w:rsid w:val="008C61C6"/>
    <w:rsid w:val="008C63CF"/>
    <w:rsid w:val="008C6744"/>
    <w:rsid w:val="008C698B"/>
    <w:rsid w:val="008C6D2E"/>
    <w:rsid w:val="008C76C2"/>
    <w:rsid w:val="008C7C05"/>
    <w:rsid w:val="008D0C66"/>
    <w:rsid w:val="008D0EE8"/>
    <w:rsid w:val="008D1029"/>
    <w:rsid w:val="008D1360"/>
    <w:rsid w:val="008D1D84"/>
    <w:rsid w:val="008D1E85"/>
    <w:rsid w:val="008D2039"/>
    <w:rsid w:val="008D2B27"/>
    <w:rsid w:val="008D2E3F"/>
    <w:rsid w:val="008D3E45"/>
    <w:rsid w:val="008D4021"/>
    <w:rsid w:val="008D4642"/>
    <w:rsid w:val="008D4947"/>
    <w:rsid w:val="008D4BA0"/>
    <w:rsid w:val="008D5587"/>
    <w:rsid w:val="008D5A2F"/>
    <w:rsid w:val="008D63F1"/>
    <w:rsid w:val="008D65F3"/>
    <w:rsid w:val="008D66CA"/>
    <w:rsid w:val="008D6906"/>
    <w:rsid w:val="008D703F"/>
    <w:rsid w:val="008D7337"/>
    <w:rsid w:val="008D7556"/>
    <w:rsid w:val="008D7AEC"/>
    <w:rsid w:val="008D7BA1"/>
    <w:rsid w:val="008E00D0"/>
    <w:rsid w:val="008E0266"/>
    <w:rsid w:val="008E049D"/>
    <w:rsid w:val="008E08E1"/>
    <w:rsid w:val="008E15A0"/>
    <w:rsid w:val="008E1A69"/>
    <w:rsid w:val="008E1DBA"/>
    <w:rsid w:val="008E216C"/>
    <w:rsid w:val="008E298F"/>
    <w:rsid w:val="008E2AD5"/>
    <w:rsid w:val="008E2BEB"/>
    <w:rsid w:val="008E2D6C"/>
    <w:rsid w:val="008E2E17"/>
    <w:rsid w:val="008E2ECF"/>
    <w:rsid w:val="008E2F61"/>
    <w:rsid w:val="008E314A"/>
    <w:rsid w:val="008E453F"/>
    <w:rsid w:val="008E4653"/>
    <w:rsid w:val="008E4A1C"/>
    <w:rsid w:val="008E4B43"/>
    <w:rsid w:val="008E503F"/>
    <w:rsid w:val="008E5140"/>
    <w:rsid w:val="008E5A65"/>
    <w:rsid w:val="008E63FA"/>
    <w:rsid w:val="008E7020"/>
    <w:rsid w:val="008E7B8F"/>
    <w:rsid w:val="008E7C76"/>
    <w:rsid w:val="008F0338"/>
    <w:rsid w:val="008F048F"/>
    <w:rsid w:val="008F05AF"/>
    <w:rsid w:val="008F0A25"/>
    <w:rsid w:val="008F0E04"/>
    <w:rsid w:val="008F1341"/>
    <w:rsid w:val="008F1E13"/>
    <w:rsid w:val="008F2C8F"/>
    <w:rsid w:val="008F3569"/>
    <w:rsid w:val="008F3645"/>
    <w:rsid w:val="008F3D85"/>
    <w:rsid w:val="008F3F66"/>
    <w:rsid w:val="008F4078"/>
    <w:rsid w:val="008F408D"/>
    <w:rsid w:val="008F42D9"/>
    <w:rsid w:val="008F43D0"/>
    <w:rsid w:val="008F4568"/>
    <w:rsid w:val="008F480C"/>
    <w:rsid w:val="008F4E58"/>
    <w:rsid w:val="008F54EA"/>
    <w:rsid w:val="008F6F66"/>
    <w:rsid w:val="008F717A"/>
    <w:rsid w:val="008F7DE0"/>
    <w:rsid w:val="00900A18"/>
    <w:rsid w:val="00901062"/>
    <w:rsid w:val="009010E6"/>
    <w:rsid w:val="0090110D"/>
    <w:rsid w:val="00901452"/>
    <w:rsid w:val="00901C65"/>
    <w:rsid w:val="0090427F"/>
    <w:rsid w:val="0090528D"/>
    <w:rsid w:val="00905812"/>
    <w:rsid w:val="00905D83"/>
    <w:rsid w:val="0090606E"/>
    <w:rsid w:val="009062F1"/>
    <w:rsid w:val="00906DF8"/>
    <w:rsid w:val="009070D7"/>
    <w:rsid w:val="00907359"/>
    <w:rsid w:val="00907429"/>
    <w:rsid w:val="009076D9"/>
    <w:rsid w:val="009077A7"/>
    <w:rsid w:val="00910222"/>
    <w:rsid w:val="00910239"/>
    <w:rsid w:val="00911411"/>
    <w:rsid w:val="0091147F"/>
    <w:rsid w:val="00911D7A"/>
    <w:rsid w:val="009120F6"/>
    <w:rsid w:val="0091214A"/>
    <w:rsid w:val="00912793"/>
    <w:rsid w:val="00913946"/>
    <w:rsid w:val="00913E6D"/>
    <w:rsid w:val="00914427"/>
    <w:rsid w:val="00915045"/>
    <w:rsid w:val="00915337"/>
    <w:rsid w:val="009158A5"/>
    <w:rsid w:val="0091641A"/>
    <w:rsid w:val="0091683C"/>
    <w:rsid w:val="00916B82"/>
    <w:rsid w:val="00920004"/>
    <w:rsid w:val="0092097C"/>
    <w:rsid w:val="0092112A"/>
    <w:rsid w:val="009216B0"/>
    <w:rsid w:val="00922256"/>
    <w:rsid w:val="00922BA3"/>
    <w:rsid w:val="00923C4B"/>
    <w:rsid w:val="00925DDC"/>
    <w:rsid w:val="00926697"/>
    <w:rsid w:val="009268E0"/>
    <w:rsid w:val="0092696B"/>
    <w:rsid w:val="0092708D"/>
    <w:rsid w:val="0092740D"/>
    <w:rsid w:val="009278FD"/>
    <w:rsid w:val="00927EFB"/>
    <w:rsid w:val="009304D9"/>
    <w:rsid w:val="0093088D"/>
    <w:rsid w:val="009310EC"/>
    <w:rsid w:val="00931113"/>
    <w:rsid w:val="00931E36"/>
    <w:rsid w:val="009322B9"/>
    <w:rsid w:val="00932434"/>
    <w:rsid w:val="00933131"/>
    <w:rsid w:val="00933590"/>
    <w:rsid w:val="0093401D"/>
    <w:rsid w:val="0093425B"/>
    <w:rsid w:val="009343C8"/>
    <w:rsid w:val="00935548"/>
    <w:rsid w:val="00935BD7"/>
    <w:rsid w:val="00935F0A"/>
    <w:rsid w:val="00935F66"/>
    <w:rsid w:val="00936182"/>
    <w:rsid w:val="0093672E"/>
    <w:rsid w:val="0093721E"/>
    <w:rsid w:val="00937339"/>
    <w:rsid w:val="00937668"/>
    <w:rsid w:val="00937E8C"/>
    <w:rsid w:val="00937FEA"/>
    <w:rsid w:val="0094025E"/>
    <w:rsid w:val="009402DF"/>
    <w:rsid w:val="00940AE2"/>
    <w:rsid w:val="00940EE0"/>
    <w:rsid w:val="009413BD"/>
    <w:rsid w:val="00941402"/>
    <w:rsid w:val="009429F6"/>
    <w:rsid w:val="00942AA3"/>
    <w:rsid w:val="00942DF7"/>
    <w:rsid w:val="009434D0"/>
    <w:rsid w:val="00943770"/>
    <w:rsid w:val="00943ADC"/>
    <w:rsid w:val="00943DB7"/>
    <w:rsid w:val="00943F6A"/>
    <w:rsid w:val="00944557"/>
    <w:rsid w:val="00944B75"/>
    <w:rsid w:val="00944CDC"/>
    <w:rsid w:val="00945122"/>
    <w:rsid w:val="009453EB"/>
    <w:rsid w:val="00945F51"/>
    <w:rsid w:val="009474DF"/>
    <w:rsid w:val="00947904"/>
    <w:rsid w:val="0094795E"/>
    <w:rsid w:val="00947C19"/>
    <w:rsid w:val="0095024B"/>
    <w:rsid w:val="00951535"/>
    <w:rsid w:val="0095170B"/>
    <w:rsid w:val="00951993"/>
    <w:rsid w:val="00951B5C"/>
    <w:rsid w:val="00952013"/>
    <w:rsid w:val="0095290B"/>
    <w:rsid w:val="00952D9E"/>
    <w:rsid w:val="009539A3"/>
    <w:rsid w:val="009547F9"/>
    <w:rsid w:val="00954B3F"/>
    <w:rsid w:val="0095521F"/>
    <w:rsid w:val="0095549A"/>
    <w:rsid w:val="00955D67"/>
    <w:rsid w:val="00956232"/>
    <w:rsid w:val="009569CC"/>
    <w:rsid w:val="00957213"/>
    <w:rsid w:val="00957603"/>
    <w:rsid w:val="0096090C"/>
    <w:rsid w:val="00960AC8"/>
    <w:rsid w:val="00960D4C"/>
    <w:rsid w:val="009614AD"/>
    <w:rsid w:val="00961BC8"/>
    <w:rsid w:val="00961BD0"/>
    <w:rsid w:val="00961EFE"/>
    <w:rsid w:val="0096252D"/>
    <w:rsid w:val="0096276A"/>
    <w:rsid w:val="00963C3A"/>
    <w:rsid w:val="00963C46"/>
    <w:rsid w:val="00963D95"/>
    <w:rsid w:val="00963EC2"/>
    <w:rsid w:val="00963F69"/>
    <w:rsid w:val="00964B1F"/>
    <w:rsid w:val="009653BF"/>
    <w:rsid w:val="00965D16"/>
    <w:rsid w:val="0096645D"/>
    <w:rsid w:val="009669F1"/>
    <w:rsid w:val="0097056D"/>
    <w:rsid w:val="00970E3F"/>
    <w:rsid w:val="00971095"/>
    <w:rsid w:val="009717FA"/>
    <w:rsid w:val="00971EB9"/>
    <w:rsid w:val="009728E0"/>
    <w:rsid w:val="009733DE"/>
    <w:rsid w:val="00973788"/>
    <w:rsid w:val="0097438D"/>
    <w:rsid w:val="00974450"/>
    <w:rsid w:val="00974A13"/>
    <w:rsid w:val="009753D7"/>
    <w:rsid w:val="00975D13"/>
    <w:rsid w:val="00975D6D"/>
    <w:rsid w:val="0097600B"/>
    <w:rsid w:val="00976612"/>
    <w:rsid w:val="009775C1"/>
    <w:rsid w:val="00977881"/>
    <w:rsid w:val="009801CB"/>
    <w:rsid w:val="00980DC2"/>
    <w:rsid w:val="009816B7"/>
    <w:rsid w:val="0098217C"/>
    <w:rsid w:val="00982985"/>
    <w:rsid w:val="00982E29"/>
    <w:rsid w:val="00982E66"/>
    <w:rsid w:val="00983173"/>
    <w:rsid w:val="0098384C"/>
    <w:rsid w:val="00983936"/>
    <w:rsid w:val="00984776"/>
    <w:rsid w:val="0098499C"/>
    <w:rsid w:val="00984A6F"/>
    <w:rsid w:val="00985005"/>
    <w:rsid w:val="009851FE"/>
    <w:rsid w:val="00985BE3"/>
    <w:rsid w:val="00985C9A"/>
    <w:rsid w:val="00985E76"/>
    <w:rsid w:val="0098682C"/>
    <w:rsid w:val="00986D31"/>
    <w:rsid w:val="00987130"/>
    <w:rsid w:val="009879C8"/>
    <w:rsid w:val="009905F8"/>
    <w:rsid w:val="0099195C"/>
    <w:rsid w:val="00991ACE"/>
    <w:rsid w:val="00991DE9"/>
    <w:rsid w:val="00992440"/>
    <w:rsid w:val="0099280A"/>
    <w:rsid w:val="00992CC3"/>
    <w:rsid w:val="00992D82"/>
    <w:rsid w:val="00993C5E"/>
    <w:rsid w:val="00994E0A"/>
    <w:rsid w:val="00994F7C"/>
    <w:rsid w:val="0099535B"/>
    <w:rsid w:val="00995B2E"/>
    <w:rsid w:val="00995FD3"/>
    <w:rsid w:val="00996334"/>
    <w:rsid w:val="00996A56"/>
    <w:rsid w:val="00996D84"/>
    <w:rsid w:val="0099720B"/>
    <w:rsid w:val="00997DB3"/>
    <w:rsid w:val="00997E3A"/>
    <w:rsid w:val="009A0385"/>
    <w:rsid w:val="009A0739"/>
    <w:rsid w:val="009A0CCA"/>
    <w:rsid w:val="009A15EA"/>
    <w:rsid w:val="009A1986"/>
    <w:rsid w:val="009A19C1"/>
    <w:rsid w:val="009A1AAF"/>
    <w:rsid w:val="009A1FC3"/>
    <w:rsid w:val="009A200C"/>
    <w:rsid w:val="009A26B7"/>
    <w:rsid w:val="009A28F8"/>
    <w:rsid w:val="009A31A2"/>
    <w:rsid w:val="009A3559"/>
    <w:rsid w:val="009A36CD"/>
    <w:rsid w:val="009A3FE3"/>
    <w:rsid w:val="009A48BE"/>
    <w:rsid w:val="009A4FC8"/>
    <w:rsid w:val="009A561E"/>
    <w:rsid w:val="009A59A8"/>
    <w:rsid w:val="009A635E"/>
    <w:rsid w:val="009A6987"/>
    <w:rsid w:val="009A6B20"/>
    <w:rsid w:val="009A6B95"/>
    <w:rsid w:val="009A7067"/>
    <w:rsid w:val="009A736D"/>
    <w:rsid w:val="009A7462"/>
    <w:rsid w:val="009A749C"/>
    <w:rsid w:val="009A7620"/>
    <w:rsid w:val="009A7713"/>
    <w:rsid w:val="009A7F4A"/>
    <w:rsid w:val="009B0578"/>
    <w:rsid w:val="009B07A0"/>
    <w:rsid w:val="009B0A65"/>
    <w:rsid w:val="009B0FF6"/>
    <w:rsid w:val="009B14E6"/>
    <w:rsid w:val="009B160B"/>
    <w:rsid w:val="009B17AE"/>
    <w:rsid w:val="009B201F"/>
    <w:rsid w:val="009B21C7"/>
    <w:rsid w:val="009B226D"/>
    <w:rsid w:val="009B247A"/>
    <w:rsid w:val="009B2F78"/>
    <w:rsid w:val="009B39F7"/>
    <w:rsid w:val="009B3CB1"/>
    <w:rsid w:val="009B4BAA"/>
    <w:rsid w:val="009B4D0A"/>
    <w:rsid w:val="009B4D1B"/>
    <w:rsid w:val="009B4D89"/>
    <w:rsid w:val="009B4F7F"/>
    <w:rsid w:val="009B6072"/>
    <w:rsid w:val="009B60A7"/>
    <w:rsid w:val="009B676C"/>
    <w:rsid w:val="009B68F9"/>
    <w:rsid w:val="009B6D29"/>
    <w:rsid w:val="009B7443"/>
    <w:rsid w:val="009B7624"/>
    <w:rsid w:val="009B76EA"/>
    <w:rsid w:val="009B7CBC"/>
    <w:rsid w:val="009C090E"/>
    <w:rsid w:val="009C0A6D"/>
    <w:rsid w:val="009C14D9"/>
    <w:rsid w:val="009C2708"/>
    <w:rsid w:val="009C3A5B"/>
    <w:rsid w:val="009C3B7B"/>
    <w:rsid w:val="009C40EC"/>
    <w:rsid w:val="009C4383"/>
    <w:rsid w:val="009C4F62"/>
    <w:rsid w:val="009C53B2"/>
    <w:rsid w:val="009C5B2C"/>
    <w:rsid w:val="009C6863"/>
    <w:rsid w:val="009C6BF2"/>
    <w:rsid w:val="009C6DD5"/>
    <w:rsid w:val="009C7239"/>
    <w:rsid w:val="009C7A94"/>
    <w:rsid w:val="009C7BF0"/>
    <w:rsid w:val="009C7E7B"/>
    <w:rsid w:val="009D025B"/>
    <w:rsid w:val="009D0569"/>
    <w:rsid w:val="009D0877"/>
    <w:rsid w:val="009D10A1"/>
    <w:rsid w:val="009D1200"/>
    <w:rsid w:val="009D136B"/>
    <w:rsid w:val="009D1C72"/>
    <w:rsid w:val="009D29E5"/>
    <w:rsid w:val="009D3BAD"/>
    <w:rsid w:val="009D4189"/>
    <w:rsid w:val="009D45B7"/>
    <w:rsid w:val="009D49F0"/>
    <w:rsid w:val="009D69FC"/>
    <w:rsid w:val="009D7138"/>
    <w:rsid w:val="009D72F3"/>
    <w:rsid w:val="009D7611"/>
    <w:rsid w:val="009D7E1D"/>
    <w:rsid w:val="009E0161"/>
    <w:rsid w:val="009E03A1"/>
    <w:rsid w:val="009E0D6D"/>
    <w:rsid w:val="009E0E98"/>
    <w:rsid w:val="009E1A6F"/>
    <w:rsid w:val="009E1AAA"/>
    <w:rsid w:val="009E2A6D"/>
    <w:rsid w:val="009E2B1F"/>
    <w:rsid w:val="009E333C"/>
    <w:rsid w:val="009E37F4"/>
    <w:rsid w:val="009E3A78"/>
    <w:rsid w:val="009E3D6B"/>
    <w:rsid w:val="009E4DBB"/>
    <w:rsid w:val="009E5121"/>
    <w:rsid w:val="009E59F3"/>
    <w:rsid w:val="009E60B4"/>
    <w:rsid w:val="009E67A6"/>
    <w:rsid w:val="009E6A67"/>
    <w:rsid w:val="009E6DAE"/>
    <w:rsid w:val="009E7308"/>
    <w:rsid w:val="009E7CF8"/>
    <w:rsid w:val="009F048D"/>
    <w:rsid w:val="009F0E64"/>
    <w:rsid w:val="009F0ECD"/>
    <w:rsid w:val="009F0FF7"/>
    <w:rsid w:val="009F1532"/>
    <w:rsid w:val="009F1F6D"/>
    <w:rsid w:val="009F279C"/>
    <w:rsid w:val="009F2B44"/>
    <w:rsid w:val="009F3BFD"/>
    <w:rsid w:val="009F42C8"/>
    <w:rsid w:val="009F481F"/>
    <w:rsid w:val="009F4B2B"/>
    <w:rsid w:val="009F526E"/>
    <w:rsid w:val="009F57A2"/>
    <w:rsid w:val="009F5A3B"/>
    <w:rsid w:val="009F5CE3"/>
    <w:rsid w:val="009F5E56"/>
    <w:rsid w:val="009F6119"/>
    <w:rsid w:val="009F6367"/>
    <w:rsid w:val="009F655E"/>
    <w:rsid w:val="009F68E2"/>
    <w:rsid w:val="009F72E2"/>
    <w:rsid w:val="009F7C5A"/>
    <w:rsid w:val="00A003A8"/>
    <w:rsid w:val="00A0062A"/>
    <w:rsid w:val="00A0079E"/>
    <w:rsid w:val="00A00A1D"/>
    <w:rsid w:val="00A011A3"/>
    <w:rsid w:val="00A01EE7"/>
    <w:rsid w:val="00A02155"/>
    <w:rsid w:val="00A036DC"/>
    <w:rsid w:val="00A03861"/>
    <w:rsid w:val="00A03869"/>
    <w:rsid w:val="00A0424A"/>
    <w:rsid w:val="00A04630"/>
    <w:rsid w:val="00A04C4E"/>
    <w:rsid w:val="00A0526E"/>
    <w:rsid w:val="00A05288"/>
    <w:rsid w:val="00A055E1"/>
    <w:rsid w:val="00A05AE1"/>
    <w:rsid w:val="00A05D55"/>
    <w:rsid w:val="00A05D91"/>
    <w:rsid w:val="00A06287"/>
    <w:rsid w:val="00A069C4"/>
    <w:rsid w:val="00A06CE5"/>
    <w:rsid w:val="00A07014"/>
    <w:rsid w:val="00A0773E"/>
    <w:rsid w:val="00A0782F"/>
    <w:rsid w:val="00A078DE"/>
    <w:rsid w:val="00A07D7B"/>
    <w:rsid w:val="00A07DB9"/>
    <w:rsid w:val="00A1060A"/>
    <w:rsid w:val="00A11015"/>
    <w:rsid w:val="00A11907"/>
    <w:rsid w:val="00A121E0"/>
    <w:rsid w:val="00A12219"/>
    <w:rsid w:val="00A126EB"/>
    <w:rsid w:val="00A129BB"/>
    <w:rsid w:val="00A12CD4"/>
    <w:rsid w:val="00A14028"/>
    <w:rsid w:val="00A152DD"/>
    <w:rsid w:val="00A1551F"/>
    <w:rsid w:val="00A15824"/>
    <w:rsid w:val="00A16164"/>
    <w:rsid w:val="00A16978"/>
    <w:rsid w:val="00A17163"/>
    <w:rsid w:val="00A2038C"/>
    <w:rsid w:val="00A203E7"/>
    <w:rsid w:val="00A211F8"/>
    <w:rsid w:val="00A227C9"/>
    <w:rsid w:val="00A22EB2"/>
    <w:rsid w:val="00A23546"/>
    <w:rsid w:val="00A238E9"/>
    <w:rsid w:val="00A23F2D"/>
    <w:rsid w:val="00A24AEB"/>
    <w:rsid w:val="00A2544B"/>
    <w:rsid w:val="00A258CB"/>
    <w:rsid w:val="00A25AD4"/>
    <w:rsid w:val="00A25E7B"/>
    <w:rsid w:val="00A26305"/>
    <w:rsid w:val="00A26C29"/>
    <w:rsid w:val="00A27DCD"/>
    <w:rsid w:val="00A302C0"/>
    <w:rsid w:val="00A30C73"/>
    <w:rsid w:val="00A30D1C"/>
    <w:rsid w:val="00A31CFA"/>
    <w:rsid w:val="00A31DAC"/>
    <w:rsid w:val="00A32796"/>
    <w:rsid w:val="00A32E4D"/>
    <w:rsid w:val="00A3397B"/>
    <w:rsid w:val="00A33C8A"/>
    <w:rsid w:val="00A341E7"/>
    <w:rsid w:val="00A343D1"/>
    <w:rsid w:val="00A34F93"/>
    <w:rsid w:val="00A35E42"/>
    <w:rsid w:val="00A360B6"/>
    <w:rsid w:val="00A364A8"/>
    <w:rsid w:val="00A364DE"/>
    <w:rsid w:val="00A3658E"/>
    <w:rsid w:val="00A36D7A"/>
    <w:rsid w:val="00A3712C"/>
    <w:rsid w:val="00A3749C"/>
    <w:rsid w:val="00A377DC"/>
    <w:rsid w:val="00A4043E"/>
    <w:rsid w:val="00A405F6"/>
    <w:rsid w:val="00A41686"/>
    <w:rsid w:val="00A42226"/>
    <w:rsid w:val="00A42642"/>
    <w:rsid w:val="00A4327B"/>
    <w:rsid w:val="00A44635"/>
    <w:rsid w:val="00A44DE5"/>
    <w:rsid w:val="00A45001"/>
    <w:rsid w:val="00A46F24"/>
    <w:rsid w:val="00A47DAC"/>
    <w:rsid w:val="00A500D9"/>
    <w:rsid w:val="00A508ED"/>
    <w:rsid w:val="00A50934"/>
    <w:rsid w:val="00A50B08"/>
    <w:rsid w:val="00A50E2F"/>
    <w:rsid w:val="00A5112B"/>
    <w:rsid w:val="00A5171D"/>
    <w:rsid w:val="00A52905"/>
    <w:rsid w:val="00A53013"/>
    <w:rsid w:val="00A530FA"/>
    <w:rsid w:val="00A531F5"/>
    <w:rsid w:val="00A53430"/>
    <w:rsid w:val="00A54A6B"/>
    <w:rsid w:val="00A54E6A"/>
    <w:rsid w:val="00A5505D"/>
    <w:rsid w:val="00A55741"/>
    <w:rsid w:val="00A55A3E"/>
    <w:rsid w:val="00A56078"/>
    <w:rsid w:val="00A56228"/>
    <w:rsid w:val="00A56AA7"/>
    <w:rsid w:val="00A56E3C"/>
    <w:rsid w:val="00A57311"/>
    <w:rsid w:val="00A573F2"/>
    <w:rsid w:val="00A57864"/>
    <w:rsid w:val="00A60003"/>
    <w:rsid w:val="00A60049"/>
    <w:rsid w:val="00A61459"/>
    <w:rsid w:val="00A614E9"/>
    <w:rsid w:val="00A615E9"/>
    <w:rsid w:val="00A617B1"/>
    <w:rsid w:val="00A6189F"/>
    <w:rsid w:val="00A62529"/>
    <w:rsid w:val="00A6280A"/>
    <w:rsid w:val="00A6342D"/>
    <w:rsid w:val="00A63858"/>
    <w:rsid w:val="00A6408D"/>
    <w:rsid w:val="00A64416"/>
    <w:rsid w:val="00A6470F"/>
    <w:rsid w:val="00A64B4B"/>
    <w:rsid w:val="00A64CBF"/>
    <w:rsid w:val="00A65798"/>
    <w:rsid w:val="00A661B4"/>
    <w:rsid w:val="00A663A6"/>
    <w:rsid w:val="00A667C5"/>
    <w:rsid w:val="00A66922"/>
    <w:rsid w:val="00A66D73"/>
    <w:rsid w:val="00A6701D"/>
    <w:rsid w:val="00A675B4"/>
    <w:rsid w:val="00A67A64"/>
    <w:rsid w:val="00A70721"/>
    <w:rsid w:val="00A719A6"/>
    <w:rsid w:val="00A71A4C"/>
    <w:rsid w:val="00A71E29"/>
    <w:rsid w:val="00A71F3E"/>
    <w:rsid w:val="00A72812"/>
    <w:rsid w:val="00A72F7D"/>
    <w:rsid w:val="00A73208"/>
    <w:rsid w:val="00A733D4"/>
    <w:rsid w:val="00A7386A"/>
    <w:rsid w:val="00A73BE2"/>
    <w:rsid w:val="00A74298"/>
    <w:rsid w:val="00A7440D"/>
    <w:rsid w:val="00A75208"/>
    <w:rsid w:val="00A7575E"/>
    <w:rsid w:val="00A7596A"/>
    <w:rsid w:val="00A7676D"/>
    <w:rsid w:val="00A76EAA"/>
    <w:rsid w:val="00A77513"/>
    <w:rsid w:val="00A77E2F"/>
    <w:rsid w:val="00A77F37"/>
    <w:rsid w:val="00A809EB"/>
    <w:rsid w:val="00A810C2"/>
    <w:rsid w:val="00A811FC"/>
    <w:rsid w:val="00A81F41"/>
    <w:rsid w:val="00A82AF8"/>
    <w:rsid w:val="00A82C55"/>
    <w:rsid w:val="00A82F21"/>
    <w:rsid w:val="00A835D8"/>
    <w:rsid w:val="00A83818"/>
    <w:rsid w:val="00A85634"/>
    <w:rsid w:val="00A85862"/>
    <w:rsid w:val="00A85A23"/>
    <w:rsid w:val="00A863A4"/>
    <w:rsid w:val="00A86E16"/>
    <w:rsid w:val="00A87D15"/>
    <w:rsid w:val="00A87F4D"/>
    <w:rsid w:val="00A90488"/>
    <w:rsid w:val="00A904CC"/>
    <w:rsid w:val="00A90575"/>
    <w:rsid w:val="00A91711"/>
    <w:rsid w:val="00A9180D"/>
    <w:rsid w:val="00A920AB"/>
    <w:rsid w:val="00A92B56"/>
    <w:rsid w:val="00A93983"/>
    <w:rsid w:val="00A9444E"/>
    <w:rsid w:val="00A94B6B"/>
    <w:rsid w:val="00A94CA4"/>
    <w:rsid w:val="00A94EC3"/>
    <w:rsid w:val="00A95167"/>
    <w:rsid w:val="00A95937"/>
    <w:rsid w:val="00A95C43"/>
    <w:rsid w:val="00A95C6F"/>
    <w:rsid w:val="00A964A4"/>
    <w:rsid w:val="00A9663A"/>
    <w:rsid w:val="00A9685C"/>
    <w:rsid w:val="00A97346"/>
    <w:rsid w:val="00A976C2"/>
    <w:rsid w:val="00A977FE"/>
    <w:rsid w:val="00A97F09"/>
    <w:rsid w:val="00AA0E25"/>
    <w:rsid w:val="00AA123F"/>
    <w:rsid w:val="00AA12CD"/>
    <w:rsid w:val="00AA13B6"/>
    <w:rsid w:val="00AA16DB"/>
    <w:rsid w:val="00AA2661"/>
    <w:rsid w:val="00AA2C6D"/>
    <w:rsid w:val="00AA3404"/>
    <w:rsid w:val="00AA355D"/>
    <w:rsid w:val="00AA376E"/>
    <w:rsid w:val="00AA386E"/>
    <w:rsid w:val="00AA38A6"/>
    <w:rsid w:val="00AA3CDD"/>
    <w:rsid w:val="00AA4DB4"/>
    <w:rsid w:val="00AA4F2B"/>
    <w:rsid w:val="00AA56C7"/>
    <w:rsid w:val="00AA57F4"/>
    <w:rsid w:val="00AA5EEA"/>
    <w:rsid w:val="00AA67EF"/>
    <w:rsid w:val="00AA7088"/>
    <w:rsid w:val="00AA78C2"/>
    <w:rsid w:val="00AA7A5D"/>
    <w:rsid w:val="00AA7D82"/>
    <w:rsid w:val="00AB01D3"/>
    <w:rsid w:val="00AB0356"/>
    <w:rsid w:val="00AB05D7"/>
    <w:rsid w:val="00AB0618"/>
    <w:rsid w:val="00AB067F"/>
    <w:rsid w:val="00AB0A21"/>
    <w:rsid w:val="00AB0B19"/>
    <w:rsid w:val="00AB0C31"/>
    <w:rsid w:val="00AB11EE"/>
    <w:rsid w:val="00AB15A7"/>
    <w:rsid w:val="00AB1D26"/>
    <w:rsid w:val="00AB1D29"/>
    <w:rsid w:val="00AB3D92"/>
    <w:rsid w:val="00AB42EE"/>
    <w:rsid w:val="00AB46F2"/>
    <w:rsid w:val="00AB4B23"/>
    <w:rsid w:val="00AB4D4A"/>
    <w:rsid w:val="00AB508C"/>
    <w:rsid w:val="00AB5D3C"/>
    <w:rsid w:val="00AB5ED1"/>
    <w:rsid w:val="00AB69CB"/>
    <w:rsid w:val="00AB6FA7"/>
    <w:rsid w:val="00AB7C45"/>
    <w:rsid w:val="00AC03FB"/>
    <w:rsid w:val="00AC05A4"/>
    <w:rsid w:val="00AC0959"/>
    <w:rsid w:val="00AC1728"/>
    <w:rsid w:val="00AC2294"/>
    <w:rsid w:val="00AC2A24"/>
    <w:rsid w:val="00AC3016"/>
    <w:rsid w:val="00AC33C9"/>
    <w:rsid w:val="00AC36C1"/>
    <w:rsid w:val="00AC3E2B"/>
    <w:rsid w:val="00AC403E"/>
    <w:rsid w:val="00AC410E"/>
    <w:rsid w:val="00AC495F"/>
    <w:rsid w:val="00AC4A08"/>
    <w:rsid w:val="00AC4E9D"/>
    <w:rsid w:val="00AC5218"/>
    <w:rsid w:val="00AC536E"/>
    <w:rsid w:val="00AC5461"/>
    <w:rsid w:val="00AC5E94"/>
    <w:rsid w:val="00AC62AD"/>
    <w:rsid w:val="00AC63B1"/>
    <w:rsid w:val="00AC6D08"/>
    <w:rsid w:val="00AC6FCE"/>
    <w:rsid w:val="00AC72AC"/>
    <w:rsid w:val="00AC7737"/>
    <w:rsid w:val="00AC785A"/>
    <w:rsid w:val="00AD030C"/>
    <w:rsid w:val="00AD0D5F"/>
    <w:rsid w:val="00AD17A8"/>
    <w:rsid w:val="00AD1DA8"/>
    <w:rsid w:val="00AD24C1"/>
    <w:rsid w:val="00AD2D3A"/>
    <w:rsid w:val="00AD364F"/>
    <w:rsid w:val="00AD3EE8"/>
    <w:rsid w:val="00AD4257"/>
    <w:rsid w:val="00AD4BB6"/>
    <w:rsid w:val="00AD5802"/>
    <w:rsid w:val="00AD5EF5"/>
    <w:rsid w:val="00AD6799"/>
    <w:rsid w:val="00AD6855"/>
    <w:rsid w:val="00AD7B0E"/>
    <w:rsid w:val="00AD7D5F"/>
    <w:rsid w:val="00AE076D"/>
    <w:rsid w:val="00AE0CB1"/>
    <w:rsid w:val="00AE1601"/>
    <w:rsid w:val="00AE2213"/>
    <w:rsid w:val="00AE235A"/>
    <w:rsid w:val="00AE2ACD"/>
    <w:rsid w:val="00AE2FEB"/>
    <w:rsid w:val="00AE36E6"/>
    <w:rsid w:val="00AE3756"/>
    <w:rsid w:val="00AE3BDA"/>
    <w:rsid w:val="00AE3DA7"/>
    <w:rsid w:val="00AE44E8"/>
    <w:rsid w:val="00AE4A7E"/>
    <w:rsid w:val="00AE4EB0"/>
    <w:rsid w:val="00AE611B"/>
    <w:rsid w:val="00AE63CC"/>
    <w:rsid w:val="00AE669F"/>
    <w:rsid w:val="00AE693C"/>
    <w:rsid w:val="00AE6FBF"/>
    <w:rsid w:val="00AE7006"/>
    <w:rsid w:val="00AE7374"/>
    <w:rsid w:val="00AE75DB"/>
    <w:rsid w:val="00AE76BE"/>
    <w:rsid w:val="00AE79A4"/>
    <w:rsid w:val="00AE7C61"/>
    <w:rsid w:val="00AF0686"/>
    <w:rsid w:val="00AF0BB8"/>
    <w:rsid w:val="00AF138D"/>
    <w:rsid w:val="00AF152C"/>
    <w:rsid w:val="00AF165E"/>
    <w:rsid w:val="00AF166F"/>
    <w:rsid w:val="00AF1D33"/>
    <w:rsid w:val="00AF250D"/>
    <w:rsid w:val="00AF3412"/>
    <w:rsid w:val="00AF5077"/>
    <w:rsid w:val="00AF5840"/>
    <w:rsid w:val="00AF5BCF"/>
    <w:rsid w:val="00AF6609"/>
    <w:rsid w:val="00AF6BCC"/>
    <w:rsid w:val="00AF6E13"/>
    <w:rsid w:val="00AF7138"/>
    <w:rsid w:val="00AF7DD3"/>
    <w:rsid w:val="00AF7E43"/>
    <w:rsid w:val="00AF7FF7"/>
    <w:rsid w:val="00B00950"/>
    <w:rsid w:val="00B00B26"/>
    <w:rsid w:val="00B00E48"/>
    <w:rsid w:val="00B01041"/>
    <w:rsid w:val="00B01BDE"/>
    <w:rsid w:val="00B0225D"/>
    <w:rsid w:val="00B025DF"/>
    <w:rsid w:val="00B027FF"/>
    <w:rsid w:val="00B02D6C"/>
    <w:rsid w:val="00B0318E"/>
    <w:rsid w:val="00B035B7"/>
    <w:rsid w:val="00B03B94"/>
    <w:rsid w:val="00B03E0B"/>
    <w:rsid w:val="00B04A5F"/>
    <w:rsid w:val="00B0516E"/>
    <w:rsid w:val="00B05544"/>
    <w:rsid w:val="00B058C8"/>
    <w:rsid w:val="00B05A63"/>
    <w:rsid w:val="00B060F7"/>
    <w:rsid w:val="00B062BD"/>
    <w:rsid w:val="00B06377"/>
    <w:rsid w:val="00B067F0"/>
    <w:rsid w:val="00B102E8"/>
    <w:rsid w:val="00B111DD"/>
    <w:rsid w:val="00B11883"/>
    <w:rsid w:val="00B11C67"/>
    <w:rsid w:val="00B11D33"/>
    <w:rsid w:val="00B11D79"/>
    <w:rsid w:val="00B12A27"/>
    <w:rsid w:val="00B12F01"/>
    <w:rsid w:val="00B1310B"/>
    <w:rsid w:val="00B13483"/>
    <w:rsid w:val="00B13607"/>
    <w:rsid w:val="00B137D2"/>
    <w:rsid w:val="00B1397A"/>
    <w:rsid w:val="00B13AD2"/>
    <w:rsid w:val="00B13AD4"/>
    <w:rsid w:val="00B13D99"/>
    <w:rsid w:val="00B1448E"/>
    <w:rsid w:val="00B144AB"/>
    <w:rsid w:val="00B14663"/>
    <w:rsid w:val="00B152E4"/>
    <w:rsid w:val="00B154E0"/>
    <w:rsid w:val="00B1559E"/>
    <w:rsid w:val="00B157BE"/>
    <w:rsid w:val="00B15C13"/>
    <w:rsid w:val="00B162BD"/>
    <w:rsid w:val="00B166EA"/>
    <w:rsid w:val="00B1684D"/>
    <w:rsid w:val="00B16C1D"/>
    <w:rsid w:val="00B16CBC"/>
    <w:rsid w:val="00B17436"/>
    <w:rsid w:val="00B17607"/>
    <w:rsid w:val="00B17BC4"/>
    <w:rsid w:val="00B205E9"/>
    <w:rsid w:val="00B20AEA"/>
    <w:rsid w:val="00B21191"/>
    <w:rsid w:val="00B226F1"/>
    <w:rsid w:val="00B22954"/>
    <w:rsid w:val="00B23450"/>
    <w:rsid w:val="00B2366E"/>
    <w:rsid w:val="00B23761"/>
    <w:rsid w:val="00B23C69"/>
    <w:rsid w:val="00B24E23"/>
    <w:rsid w:val="00B25076"/>
    <w:rsid w:val="00B253A8"/>
    <w:rsid w:val="00B253CC"/>
    <w:rsid w:val="00B2581F"/>
    <w:rsid w:val="00B2595E"/>
    <w:rsid w:val="00B260AE"/>
    <w:rsid w:val="00B26BC2"/>
    <w:rsid w:val="00B27956"/>
    <w:rsid w:val="00B27EC1"/>
    <w:rsid w:val="00B27F8A"/>
    <w:rsid w:val="00B309AF"/>
    <w:rsid w:val="00B30DF9"/>
    <w:rsid w:val="00B30DFD"/>
    <w:rsid w:val="00B30F70"/>
    <w:rsid w:val="00B31CD7"/>
    <w:rsid w:val="00B3233D"/>
    <w:rsid w:val="00B32FA7"/>
    <w:rsid w:val="00B33662"/>
    <w:rsid w:val="00B33764"/>
    <w:rsid w:val="00B33C6E"/>
    <w:rsid w:val="00B346DF"/>
    <w:rsid w:val="00B3481D"/>
    <w:rsid w:val="00B354D4"/>
    <w:rsid w:val="00B356FA"/>
    <w:rsid w:val="00B36418"/>
    <w:rsid w:val="00B36B80"/>
    <w:rsid w:val="00B371D9"/>
    <w:rsid w:val="00B3778C"/>
    <w:rsid w:val="00B40DD0"/>
    <w:rsid w:val="00B416ED"/>
    <w:rsid w:val="00B41E19"/>
    <w:rsid w:val="00B42263"/>
    <w:rsid w:val="00B425BA"/>
    <w:rsid w:val="00B425E5"/>
    <w:rsid w:val="00B428D9"/>
    <w:rsid w:val="00B4328F"/>
    <w:rsid w:val="00B43A2C"/>
    <w:rsid w:val="00B440CE"/>
    <w:rsid w:val="00B44270"/>
    <w:rsid w:val="00B447CB"/>
    <w:rsid w:val="00B44D37"/>
    <w:rsid w:val="00B4552B"/>
    <w:rsid w:val="00B4552D"/>
    <w:rsid w:val="00B457BE"/>
    <w:rsid w:val="00B4598C"/>
    <w:rsid w:val="00B45C37"/>
    <w:rsid w:val="00B45C65"/>
    <w:rsid w:val="00B471D1"/>
    <w:rsid w:val="00B477B4"/>
    <w:rsid w:val="00B47EAB"/>
    <w:rsid w:val="00B50FF0"/>
    <w:rsid w:val="00B51724"/>
    <w:rsid w:val="00B51866"/>
    <w:rsid w:val="00B51ED0"/>
    <w:rsid w:val="00B522C8"/>
    <w:rsid w:val="00B527B7"/>
    <w:rsid w:val="00B5327A"/>
    <w:rsid w:val="00B535EE"/>
    <w:rsid w:val="00B53CED"/>
    <w:rsid w:val="00B5469C"/>
    <w:rsid w:val="00B54A89"/>
    <w:rsid w:val="00B55824"/>
    <w:rsid w:val="00B55AF1"/>
    <w:rsid w:val="00B55BEF"/>
    <w:rsid w:val="00B55CAC"/>
    <w:rsid w:val="00B55E3B"/>
    <w:rsid w:val="00B5605C"/>
    <w:rsid w:val="00B56084"/>
    <w:rsid w:val="00B56145"/>
    <w:rsid w:val="00B56A1C"/>
    <w:rsid w:val="00B56FF6"/>
    <w:rsid w:val="00B57638"/>
    <w:rsid w:val="00B57D91"/>
    <w:rsid w:val="00B60162"/>
    <w:rsid w:val="00B60331"/>
    <w:rsid w:val="00B61522"/>
    <w:rsid w:val="00B61663"/>
    <w:rsid w:val="00B617A8"/>
    <w:rsid w:val="00B61BE5"/>
    <w:rsid w:val="00B622EA"/>
    <w:rsid w:val="00B62336"/>
    <w:rsid w:val="00B623F7"/>
    <w:rsid w:val="00B6269A"/>
    <w:rsid w:val="00B630D8"/>
    <w:rsid w:val="00B644E0"/>
    <w:rsid w:val="00B65C35"/>
    <w:rsid w:val="00B65C82"/>
    <w:rsid w:val="00B66A19"/>
    <w:rsid w:val="00B66FBB"/>
    <w:rsid w:val="00B67187"/>
    <w:rsid w:val="00B67567"/>
    <w:rsid w:val="00B6786C"/>
    <w:rsid w:val="00B679C7"/>
    <w:rsid w:val="00B70B31"/>
    <w:rsid w:val="00B714DE"/>
    <w:rsid w:val="00B71CCD"/>
    <w:rsid w:val="00B7276D"/>
    <w:rsid w:val="00B728DB"/>
    <w:rsid w:val="00B72AE7"/>
    <w:rsid w:val="00B72AF6"/>
    <w:rsid w:val="00B72BDE"/>
    <w:rsid w:val="00B72F13"/>
    <w:rsid w:val="00B73564"/>
    <w:rsid w:val="00B7376D"/>
    <w:rsid w:val="00B738B5"/>
    <w:rsid w:val="00B73904"/>
    <w:rsid w:val="00B73D11"/>
    <w:rsid w:val="00B73D89"/>
    <w:rsid w:val="00B74129"/>
    <w:rsid w:val="00B745C8"/>
    <w:rsid w:val="00B74EC4"/>
    <w:rsid w:val="00B75075"/>
    <w:rsid w:val="00B7515F"/>
    <w:rsid w:val="00B7523B"/>
    <w:rsid w:val="00B75F3E"/>
    <w:rsid w:val="00B75F77"/>
    <w:rsid w:val="00B760B8"/>
    <w:rsid w:val="00B76104"/>
    <w:rsid w:val="00B76358"/>
    <w:rsid w:val="00B766D5"/>
    <w:rsid w:val="00B766E5"/>
    <w:rsid w:val="00B76B97"/>
    <w:rsid w:val="00B77A67"/>
    <w:rsid w:val="00B801BE"/>
    <w:rsid w:val="00B80200"/>
    <w:rsid w:val="00B803FA"/>
    <w:rsid w:val="00B8089B"/>
    <w:rsid w:val="00B809D1"/>
    <w:rsid w:val="00B80F7B"/>
    <w:rsid w:val="00B81147"/>
    <w:rsid w:val="00B81616"/>
    <w:rsid w:val="00B8168D"/>
    <w:rsid w:val="00B8209C"/>
    <w:rsid w:val="00B82F7B"/>
    <w:rsid w:val="00B83611"/>
    <w:rsid w:val="00B84318"/>
    <w:rsid w:val="00B84EBE"/>
    <w:rsid w:val="00B850D7"/>
    <w:rsid w:val="00B853A7"/>
    <w:rsid w:val="00B86755"/>
    <w:rsid w:val="00B86E7E"/>
    <w:rsid w:val="00B86F39"/>
    <w:rsid w:val="00B87124"/>
    <w:rsid w:val="00B87261"/>
    <w:rsid w:val="00B90A0E"/>
    <w:rsid w:val="00B911C9"/>
    <w:rsid w:val="00B92160"/>
    <w:rsid w:val="00B92844"/>
    <w:rsid w:val="00B930F8"/>
    <w:rsid w:val="00B93930"/>
    <w:rsid w:val="00B93C27"/>
    <w:rsid w:val="00B9453E"/>
    <w:rsid w:val="00B95525"/>
    <w:rsid w:val="00B95D61"/>
    <w:rsid w:val="00B973CE"/>
    <w:rsid w:val="00B973FF"/>
    <w:rsid w:val="00B974FB"/>
    <w:rsid w:val="00B9763D"/>
    <w:rsid w:val="00B9763F"/>
    <w:rsid w:val="00B977AA"/>
    <w:rsid w:val="00B97CE1"/>
    <w:rsid w:val="00B97DA3"/>
    <w:rsid w:val="00BA0231"/>
    <w:rsid w:val="00BA03A9"/>
    <w:rsid w:val="00BA0530"/>
    <w:rsid w:val="00BA0740"/>
    <w:rsid w:val="00BA1349"/>
    <w:rsid w:val="00BA1423"/>
    <w:rsid w:val="00BA15B1"/>
    <w:rsid w:val="00BA1CA0"/>
    <w:rsid w:val="00BA1DA3"/>
    <w:rsid w:val="00BA26D8"/>
    <w:rsid w:val="00BA2A16"/>
    <w:rsid w:val="00BA2C49"/>
    <w:rsid w:val="00BA311A"/>
    <w:rsid w:val="00BA3585"/>
    <w:rsid w:val="00BA3AFB"/>
    <w:rsid w:val="00BA42A5"/>
    <w:rsid w:val="00BA4E0F"/>
    <w:rsid w:val="00BA5B0B"/>
    <w:rsid w:val="00BA646B"/>
    <w:rsid w:val="00BA7180"/>
    <w:rsid w:val="00BA720B"/>
    <w:rsid w:val="00BA733D"/>
    <w:rsid w:val="00BA78F3"/>
    <w:rsid w:val="00BA7E11"/>
    <w:rsid w:val="00BA7EBD"/>
    <w:rsid w:val="00BA7EE7"/>
    <w:rsid w:val="00BB0378"/>
    <w:rsid w:val="00BB0B49"/>
    <w:rsid w:val="00BB1CE7"/>
    <w:rsid w:val="00BB2BC8"/>
    <w:rsid w:val="00BB328E"/>
    <w:rsid w:val="00BB46BB"/>
    <w:rsid w:val="00BB4B03"/>
    <w:rsid w:val="00BB4C78"/>
    <w:rsid w:val="00BB4E65"/>
    <w:rsid w:val="00BB51EA"/>
    <w:rsid w:val="00BB5B81"/>
    <w:rsid w:val="00BB61F0"/>
    <w:rsid w:val="00BB6E2D"/>
    <w:rsid w:val="00BB71E2"/>
    <w:rsid w:val="00BB77B8"/>
    <w:rsid w:val="00BC0979"/>
    <w:rsid w:val="00BC13C9"/>
    <w:rsid w:val="00BC13D7"/>
    <w:rsid w:val="00BC13EF"/>
    <w:rsid w:val="00BC1556"/>
    <w:rsid w:val="00BC15C8"/>
    <w:rsid w:val="00BC18D5"/>
    <w:rsid w:val="00BC1F4D"/>
    <w:rsid w:val="00BC3051"/>
    <w:rsid w:val="00BC3246"/>
    <w:rsid w:val="00BC3725"/>
    <w:rsid w:val="00BC3B43"/>
    <w:rsid w:val="00BC45CE"/>
    <w:rsid w:val="00BC48E8"/>
    <w:rsid w:val="00BC4C54"/>
    <w:rsid w:val="00BC4CDA"/>
    <w:rsid w:val="00BC5194"/>
    <w:rsid w:val="00BC5B34"/>
    <w:rsid w:val="00BC5CFB"/>
    <w:rsid w:val="00BC60B3"/>
    <w:rsid w:val="00BC60B5"/>
    <w:rsid w:val="00BC63A0"/>
    <w:rsid w:val="00BC6B9A"/>
    <w:rsid w:val="00BC7492"/>
    <w:rsid w:val="00BC77FB"/>
    <w:rsid w:val="00BC7F16"/>
    <w:rsid w:val="00BD0AB0"/>
    <w:rsid w:val="00BD0EB1"/>
    <w:rsid w:val="00BD118A"/>
    <w:rsid w:val="00BD2657"/>
    <w:rsid w:val="00BD3037"/>
    <w:rsid w:val="00BD3169"/>
    <w:rsid w:val="00BD31D1"/>
    <w:rsid w:val="00BD38DB"/>
    <w:rsid w:val="00BD3E98"/>
    <w:rsid w:val="00BD4523"/>
    <w:rsid w:val="00BD46D1"/>
    <w:rsid w:val="00BD48E1"/>
    <w:rsid w:val="00BD4919"/>
    <w:rsid w:val="00BD4C4B"/>
    <w:rsid w:val="00BD5114"/>
    <w:rsid w:val="00BD5534"/>
    <w:rsid w:val="00BD569F"/>
    <w:rsid w:val="00BD5AAD"/>
    <w:rsid w:val="00BD6AB5"/>
    <w:rsid w:val="00BD700A"/>
    <w:rsid w:val="00BD70A3"/>
    <w:rsid w:val="00BD7BEF"/>
    <w:rsid w:val="00BE0291"/>
    <w:rsid w:val="00BE0704"/>
    <w:rsid w:val="00BE1958"/>
    <w:rsid w:val="00BE1E9D"/>
    <w:rsid w:val="00BE1F14"/>
    <w:rsid w:val="00BE2184"/>
    <w:rsid w:val="00BE2872"/>
    <w:rsid w:val="00BE355B"/>
    <w:rsid w:val="00BE3DA7"/>
    <w:rsid w:val="00BE4EA4"/>
    <w:rsid w:val="00BE54B3"/>
    <w:rsid w:val="00BE6183"/>
    <w:rsid w:val="00BE63E7"/>
    <w:rsid w:val="00BE6717"/>
    <w:rsid w:val="00BE6C19"/>
    <w:rsid w:val="00BE7435"/>
    <w:rsid w:val="00BE74D6"/>
    <w:rsid w:val="00BE788D"/>
    <w:rsid w:val="00BF0447"/>
    <w:rsid w:val="00BF0489"/>
    <w:rsid w:val="00BF08AB"/>
    <w:rsid w:val="00BF0FA0"/>
    <w:rsid w:val="00BF1161"/>
    <w:rsid w:val="00BF189B"/>
    <w:rsid w:val="00BF1B63"/>
    <w:rsid w:val="00BF2EEB"/>
    <w:rsid w:val="00BF3BCB"/>
    <w:rsid w:val="00BF4034"/>
    <w:rsid w:val="00BF41DF"/>
    <w:rsid w:val="00BF550F"/>
    <w:rsid w:val="00BF5713"/>
    <w:rsid w:val="00BF57BE"/>
    <w:rsid w:val="00BF5AC3"/>
    <w:rsid w:val="00BF5DE7"/>
    <w:rsid w:val="00BF6BED"/>
    <w:rsid w:val="00BF70BC"/>
    <w:rsid w:val="00BF76CB"/>
    <w:rsid w:val="00C003D0"/>
    <w:rsid w:val="00C005C3"/>
    <w:rsid w:val="00C01F46"/>
    <w:rsid w:val="00C029D5"/>
    <w:rsid w:val="00C02A8A"/>
    <w:rsid w:val="00C0329F"/>
    <w:rsid w:val="00C035DE"/>
    <w:rsid w:val="00C035F5"/>
    <w:rsid w:val="00C03A71"/>
    <w:rsid w:val="00C03D3D"/>
    <w:rsid w:val="00C03DBC"/>
    <w:rsid w:val="00C047DE"/>
    <w:rsid w:val="00C0489A"/>
    <w:rsid w:val="00C050CE"/>
    <w:rsid w:val="00C0577E"/>
    <w:rsid w:val="00C060D8"/>
    <w:rsid w:val="00C0614B"/>
    <w:rsid w:val="00C062AF"/>
    <w:rsid w:val="00C06356"/>
    <w:rsid w:val="00C065AF"/>
    <w:rsid w:val="00C06AEB"/>
    <w:rsid w:val="00C07411"/>
    <w:rsid w:val="00C07E0B"/>
    <w:rsid w:val="00C109FE"/>
    <w:rsid w:val="00C112AE"/>
    <w:rsid w:val="00C11C84"/>
    <w:rsid w:val="00C120AE"/>
    <w:rsid w:val="00C125F4"/>
    <w:rsid w:val="00C12EBD"/>
    <w:rsid w:val="00C136F2"/>
    <w:rsid w:val="00C13786"/>
    <w:rsid w:val="00C14066"/>
    <w:rsid w:val="00C14395"/>
    <w:rsid w:val="00C1522E"/>
    <w:rsid w:val="00C163E1"/>
    <w:rsid w:val="00C1736C"/>
    <w:rsid w:val="00C17E1D"/>
    <w:rsid w:val="00C2014E"/>
    <w:rsid w:val="00C20690"/>
    <w:rsid w:val="00C208A2"/>
    <w:rsid w:val="00C20F7D"/>
    <w:rsid w:val="00C21822"/>
    <w:rsid w:val="00C2201C"/>
    <w:rsid w:val="00C223D3"/>
    <w:rsid w:val="00C22539"/>
    <w:rsid w:val="00C2284C"/>
    <w:rsid w:val="00C22FAA"/>
    <w:rsid w:val="00C23014"/>
    <w:rsid w:val="00C2359D"/>
    <w:rsid w:val="00C23672"/>
    <w:rsid w:val="00C24AC7"/>
    <w:rsid w:val="00C24CE9"/>
    <w:rsid w:val="00C24F98"/>
    <w:rsid w:val="00C250AE"/>
    <w:rsid w:val="00C256D4"/>
    <w:rsid w:val="00C2572B"/>
    <w:rsid w:val="00C25CCE"/>
    <w:rsid w:val="00C2677A"/>
    <w:rsid w:val="00C27F36"/>
    <w:rsid w:val="00C30415"/>
    <w:rsid w:val="00C317EB"/>
    <w:rsid w:val="00C318CE"/>
    <w:rsid w:val="00C32001"/>
    <w:rsid w:val="00C3216B"/>
    <w:rsid w:val="00C345A5"/>
    <w:rsid w:val="00C34AF5"/>
    <w:rsid w:val="00C356D3"/>
    <w:rsid w:val="00C3598E"/>
    <w:rsid w:val="00C35AC1"/>
    <w:rsid w:val="00C35E68"/>
    <w:rsid w:val="00C36264"/>
    <w:rsid w:val="00C364D3"/>
    <w:rsid w:val="00C3690C"/>
    <w:rsid w:val="00C36AC3"/>
    <w:rsid w:val="00C3717B"/>
    <w:rsid w:val="00C37310"/>
    <w:rsid w:val="00C37955"/>
    <w:rsid w:val="00C40473"/>
    <w:rsid w:val="00C40AE7"/>
    <w:rsid w:val="00C40B03"/>
    <w:rsid w:val="00C40B2C"/>
    <w:rsid w:val="00C41190"/>
    <w:rsid w:val="00C41708"/>
    <w:rsid w:val="00C41AA2"/>
    <w:rsid w:val="00C41D62"/>
    <w:rsid w:val="00C42EDC"/>
    <w:rsid w:val="00C434CD"/>
    <w:rsid w:val="00C434F3"/>
    <w:rsid w:val="00C43E90"/>
    <w:rsid w:val="00C43F63"/>
    <w:rsid w:val="00C441E9"/>
    <w:rsid w:val="00C4583A"/>
    <w:rsid w:val="00C4624F"/>
    <w:rsid w:val="00C46F8E"/>
    <w:rsid w:val="00C47499"/>
    <w:rsid w:val="00C47899"/>
    <w:rsid w:val="00C47C21"/>
    <w:rsid w:val="00C50268"/>
    <w:rsid w:val="00C50638"/>
    <w:rsid w:val="00C506F0"/>
    <w:rsid w:val="00C50B94"/>
    <w:rsid w:val="00C50D3D"/>
    <w:rsid w:val="00C5122B"/>
    <w:rsid w:val="00C51777"/>
    <w:rsid w:val="00C51DBE"/>
    <w:rsid w:val="00C5233C"/>
    <w:rsid w:val="00C526DF"/>
    <w:rsid w:val="00C53556"/>
    <w:rsid w:val="00C5385F"/>
    <w:rsid w:val="00C538AA"/>
    <w:rsid w:val="00C5399B"/>
    <w:rsid w:val="00C53D46"/>
    <w:rsid w:val="00C53FE7"/>
    <w:rsid w:val="00C548B3"/>
    <w:rsid w:val="00C55A86"/>
    <w:rsid w:val="00C55D0E"/>
    <w:rsid w:val="00C5638A"/>
    <w:rsid w:val="00C571AE"/>
    <w:rsid w:val="00C57812"/>
    <w:rsid w:val="00C57B51"/>
    <w:rsid w:val="00C6079B"/>
    <w:rsid w:val="00C60C8B"/>
    <w:rsid w:val="00C60EE1"/>
    <w:rsid w:val="00C6151B"/>
    <w:rsid w:val="00C61BD8"/>
    <w:rsid w:val="00C61BE9"/>
    <w:rsid w:val="00C61DBE"/>
    <w:rsid w:val="00C61FF5"/>
    <w:rsid w:val="00C6259B"/>
    <w:rsid w:val="00C6269A"/>
    <w:rsid w:val="00C62733"/>
    <w:rsid w:val="00C62D9A"/>
    <w:rsid w:val="00C63156"/>
    <w:rsid w:val="00C638CF"/>
    <w:rsid w:val="00C6434B"/>
    <w:rsid w:val="00C647E1"/>
    <w:rsid w:val="00C64B31"/>
    <w:rsid w:val="00C64C27"/>
    <w:rsid w:val="00C66268"/>
    <w:rsid w:val="00C664A9"/>
    <w:rsid w:val="00C672DC"/>
    <w:rsid w:val="00C673B7"/>
    <w:rsid w:val="00C67404"/>
    <w:rsid w:val="00C676B0"/>
    <w:rsid w:val="00C679D3"/>
    <w:rsid w:val="00C679F2"/>
    <w:rsid w:val="00C67FB0"/>
    <w:rsid w:val="00C70025"/>
    <w:rsid w:val="00C70969"/>
    <w:rsid w:val="00C71997"/>
    <w:rsid w:val="00C729F1"/>
    <w:rsid w:val="00C72E50"/>
    <w:rsid w:val="00C7338F"/>
    <w:rsid w:val="00C7341A"/>
    <w:rsid w:val="00C73BE4"/>
    <w:rsid w:val="00C73D00"/>
    <w:rsid w:val="00C73D4D"/>
    <w:rsid w:val="00C742FA"/>
    <w:rsid w:val="00C74CAF"/>
    <w:rsid w:val="00C74EA0"/>
    <w:rsid w:val="00C75899"/>
    <w:rsid w:val="00C75E20"/>
    <w:rsid w:val="00C773D3"/>
    <w:rsid w:val="00C77B34"/>
    <w:rsid w:val="00C803B3"/>
    <w:rsid w:val="00C80668"/>
    <w:rsid w:val="00C814DC"/>
    <w:rsid w:val="00C818A7"/>
    <w:rsid w:val="00C81F5C"/>
    <w:rsid w:val="00C82361"/>
    <w:rsid w:val="00C8242B"/>
    <w:rsid w:val="00C825EA"/>
    <w:rsid w:val="00C82869"/>
    <w:rsid w:val="00C836A2"/>
    <w:rsid w:val="00C83B1B"/>
    <w:rsid w:val="00C83D26"/>
    <w:rsid w:val="00C8465A"/>
    <w:rsid w:val="00C846CA"/>
    <w:rsid w:val="00C86195"/>
    <w:rsid w:val="00C8646C"/>
    <w:rsid w:val="00C86775"/>
    <w:rsid w:val="00C869F8"/>
    <w:rsid w:val="00C86C66"/>
    <w:rsid w:val="00C87524"/>
    <w:rsid w:val="00C87CBC"/>
    <w:rsid w:val="00C87CC9"/>
    <w:rsid w:val="00C87D02"/>
    <w:rsid w:val="00C90625"/>
    <w:rsid w:val="00C90A57"/>
    <w:rsid w:val="00C90AE8"/>
    <w:rsid w:val="00C917D2"/>
    <w:rsid w:val="00C91874"/>
    <w:rsid w:val="00C91AAC"/>
    <w:rsid w:val="00C92800"/>
    <w:rsid w:val="00C9291A"/>
    <w:rsid w:val="00C92924"/>
    <w:rsid w:val="00C9335C"/>
    <w:rsid w:val="00C9376C"/>
    <w:rsid w:val="00C93867"/>
    <w:rsid w:val="00C9470A"/>
    <w:rsid w:val="00C94F1A"/>
    <w:rsid w:val="00C950AC"/>
    <w:rsid w:val="00C951DE"/>
    <w:rsid w:val="00C9525F"/>
    <w:rsid w:val="00C95341"/>
    <w:rsid w:val="00C957A2"/>
    <w:rsid w:val="00C964F3"/>
    <w:rsid w:val="00C96C88"/>
    <w:rsid w:val="00C96F12"/>
    <w:rsid w:val="00C9729A"/>
    <w:rsid w:val="00C97330"/>
    <w:rsid w:val="00C97ADC"/>
    <w:rsid w:val="00C97E75"/>
    <w:rsid w:val="00CA008A"/>
    <w:rsid w:val="00CA04C7"/>
    <w:rsid w:val="00CA06ED"/>
    <w:rsid w:val="00CA07E3"/>
    <w:rsid w:val="00CA0EAD"/>
    <w:rsid w:val="00CA117D"/>
    <w:rsid w:val="00CA1229"/>
    <w:rsid w:val="00CA167B"/>
    <w:rsid w:val="00CA1A39"/>
    <w:rsid w:val="00CA2258"/>
    <w:rsid w:val="00CA2881"/>
    <w:rsid w:val="00CA2905"/>
    <w:rsid w:val="00CA2A30"/>
    <w:rsid w:val="00CA2AD8"/>
    <w:rsid w:val="00CA354F"/>
    <w:rsid w:val="00CA38AA"/>
    <w:rsid w:val="00CA4065"/>
    <w:rsid w:val="00CA4618"/>
    <w:rsid w:val="00CA4A38"/>
    <w:rsid w:val="00CA4F2A"/>
    <w:rsid w:val="00CA5095"/>
    <w:rsid w:val="00CA550C"/>
    <w:rsid w:val="00CA5A69"/>
    <w:rsid w:val="00CA63AA"/>
    <w:rsid w:val="00CA6B8F"/>
    <w:rsid w:val="00CA6ED0"/>
    <w:rsid w:val="00CA703E"/>
    <w:rsid w:val="00CA7B83"/>
    <w:rsid w:val="00CA7C9E"/>
    <w:rsid w:val="00CA7EE6"/>
    <w:rsid w:val="00CB0492"/>
    <w:rsid w:val="00CB0FED"/>
    <w:rsid w:val="00CB15B1"/>
    <w:rsid w:val="00CB1C82"/>
    <w:rsid w:val="00CB1E79"/>
    <w:rsid w:val="00CB2698"/>
    <w:rsid w:val="00CB2867"/>
    <w:rsid w:val="00CB2D27"/>
    <w:rsid w:val="00CB300A"/>
    <w:rsid w:val="00CB30D3"/>
    <w:rsid w:val="00CB3567"/>
    <w:rsid w:val="00CB37F9"/>
    <w:rsid w:val="00CB38A8"/>
    <w:rsid w:val="00CB3A9B"/>
    <w:rsid w:val="00CB3CCE"/>
    <w:rsid w:val="00CB42B0"/>
    <w:rsid w:val="00CB42EA"/>
    <w:rsid w:val="00CB4EEA"/>
    <w:rsid w:val="00CB5604"/>
    <w:rsid w:val="00CB5D2B"/>
    <w:rsid w:val="00CB63AB"/>
    <w:rsid w:val="00CB6A98"/>
    <w:rsid w:val="00CB6B14"/>
    <w:rsid w:val="00CB6F2D"/>
    <w:rsid w:val="00CC02BB"/>
    <w:rsid w:val="00CC055F"/>
    <w:rsid w:val="00CC0E25"/>
    <w:rsid w:val="00CC154F"/>
    <w:rsid w:val="00CC1586"/>
    <w:rsid w:val="00CC15AB"/>
    <w:rsid w:val="00CC188A"/>
    <w:rsid w:val="00CC1A2D"/>
    <w:rsid w:val="00CC1AC9"/>
    <w:rsid w:val="00CC1CD2"/>
    <w:rsid w:val="00CC2FF0"/>
    <w:rsid w:val="00CC3074"/>
    <w:rsid w:val="00CC3953"/>
    <w:rsid w:val="00CC40F8"/>
    <w:rsid w:val="00CC4162"/>
    <w:rsid w:val="00CC45D1"/>
    <w:rsid w:val="00CC52BF"/>
    <w:rsid w:val="00CC5FA3"/>
    <w:rsid w:val="00CC6304"/>
    <w:rsid w:val="00CC6754"/>
    <w:rsid w:val="00CC6CC1"/>
    <w:rsid w:val="00CD0A63"/>
    <w:rsid w:val="00CD1669"/>
    <w:rsid w:val="00CD1D2D"/>
    <w:rsid w:val="00CD23FE"/>
    <w:rsid w:val="00CD25EC"/>
    <w:rsid w:val="00CD2AE0"/>
    <w:rsid w:val="00CD2E1A"/>
    <w:rsid w:val="00CD306B"/>
    <w:rsid w:val="00CD459F"/>
    <w:rsid w:val="00CD4C7C"/>
    <w:rsid w:val="00CD523F"/>
    <w:rsid w:val="00CD528D"/>
    <w:rsid w:val="00CD5DAB"/>
    <w:rsid w:val="00CD64FA"/>
    <w:rsid w:val="00CD68B3"/>
    <w:rsid w:val="00CD6E2A"/>
    <w:rsid w:val="00CD705E"/>
    <w:rsid w:val="00CD757B"/>
    <w:rsid w:val="00CD7C22"/>
    <w:rsid w:val="00CD7E2E"/>
    <w:rsid w:val="00CE06DC"/>
    <w:rsid w:val="00CE0C24"/>
    <w:rsid w:val="00CE0E47"/>
    <w:rsid w:val="00CE157A"/>
    <w:rsid w:val="00CE15D5"/>
    <w:rsid w:val="00CE16F2"/>
    <w:rsid w:val="00CE28DB"/>
    <w:rsid w:val="00CE2F49"/>
    <w:rsid w:val="00CE328E"/>
    <w:rsid w:val="00CE39E7"/>
    <w:rsid w:val="00CE3FC7"/>
    <w:rsid w:val="00CE48E2"/>
    <w:rsid w:val="00CE4CD8"/>
    <w:rsid w:val="00CE4D8F"/>
    <w:rsid w:val="00CE5006"/>
    <w:rsid w:val="00CE52A0"/>
    <w:rsid w:val="00CE56B1"/>
    <w:rsid w:val="00CE6AE3"/>
    <w:rsid w:val="00CE7FCF"/>
    <w:rsid w:val="00CF0131"/>
    <w:rsid w:val="00CF0199"/>
    <w:rsid w:val="00CF02A4"/>
    <w:rsid w:val="00CF0855"/>
    <w:rsid w:val="00CF093F"/>
    <w:rsid w:val="00CF0AB2"/>
    <w:rsid w:val="00CF0E36"/>
    <w:rsid w:val="00CF0F9D"/>
    <w:rsid w:val="00CF25D1"/>
    <w:rsid w:val="00CF25EE"/>
    <w:rsid w:val="00CF2D25"/>
    <w:rsid w:val="00CF2DF3"/>
    <w:rsid w:val="00CF3011"/>
    <w:rsid w:val="00CF3595"/>
    <w:rsid w:val="00CF371D"/>
    <w:rsid w:val="00CF3A04"/>
    <w:rsid w:val="00CF4059"/>
    <w:rsid w:val="00CF4337"/>
    <w:rsid w:val="00CF46FC"/>
    <w:rsid w:val="00CF4A7F"/>
    <w:rsid w:val="00CF4B55"/>
    <w:rsid w:val="00CF4FF0"/>
    <w:rsid w:val="00CF58C0"/>
    <w:rsid w:val="00CF708A"/>
    <w:rsid w:val="00CF7A85"/>
    <w:rsid w:val="00CF7BEC"/>
    <w:rsid w:val="00D00070"/>
    <w:rsid w:val="00D003BD"/>
    <w:rsid w:val="00D00904"/>
    <w:rsid w:val="00D00FDA"/>
    <w:rsid w:val="00D0106A"/>
    <w:rsid w:val="00D0132F"/>
    <w:rsid w:val="00D013D7"/>
    <w:rsid w:val="00D014F4"/>
    <w:rsid w:val="00D015B4"/>
    <w:rsid w:val="00D01711"/>
    <w:rsid w:val="00D017A3"/>
    <w:rsid w:val="00D0260E"/>
    <w:rsid w:val="00D02655"/>
    <w:rsid w:val="00D02A86"/>
    <w:rsid w:val="00D0318F"/>
    <w:rsid w:val="00D040FC"/>
    <w:rsid w:val="00D04DCC"/>
    <w:rsid w:val="00D0614C"/>
    <w:rsid w:val="00D066AA"/>
    <w:rsid w:val="00D067DE"/>
    <w:rsid w:val="00D073D2"/>
    <w:rsid w:val="00D075DC"/>
    <w:rsid w:val="00D10CA1"/>
    <w:rsid w:val="00D118B2"/>
    <w:rsid w:val="00D119BD"/>
    <w:rsid w:val="00D11D8B"/>
    <w:rsid w:val="00D126D0"/>
    <w:rsid w:val="00D133F3"/>
    <w:rsid w:val="00D13876"/>
    <w:rsid w:val="00D145CD"/>
    <w:rsid w:val="00D14A6B"/>
    <w:rsid w:val="00D151D7"/>
    <w:rsid w:val="00D1550C"/>
    <w:rsid w:val="00D1554F"/>
    <w:rsid w:val="00D16350"/>
    <w:rsid w:val="00D175B9"/>
    <w:rsid w:val="00D17C5E"/>
    <w:rsid w:val="00D20000"/>
    <w:rsid w:val="00D202D6"/>
    <w:rsid w:val="00D203D9"/>
    <w:rsid w:val="00D207D0"/>
    <w:rsid w:val="00D20C53"/>
    <w:rsid w:val="00D21848"/>
    <w:rsid w:val="00D22102"/>
    <w:rsid w:val="00D22829"/>
    <w:rsid w:val="00D229AF"/>
    <w:rsid w:val="00D23074"/>
    <w:rsid w:val="00D232B3"/>
    <w:rsid w:val="00D23782"/>
    <w:rsid w:val="00D237D4"/>
    <w:rsid w:val="00D246DA"/>
    <w:rsid w:val="00D25CF1"/>
    <w:rsid w:val="00D25E96"/>
    <w:rsid w:val="00D263CD"/>
    <w:rsid w:val="00D271D8"/>
    <w:rsid w:val="00D27755"/>
    <w:rsid w:val="00D27F14"/>
    <w:rsid w:val="00D30290"/>
    <w:rsid w:val="00D30334"/>
    <w:rsid w:val="00D30341"/>
    <w:rsid w:val="00D303FA"/>
    <w:rsid w:val="00D310DC"/>
    <w:rsid w:val="00D31257"/>
    <w:rsid w:val="00D31B6E"/>
    <w:rsid w:val="00D32547"/>
    <w:rsid w:val="00D327FE"/>
    <w:rsid w:val="00D3292F"/>
    <w:rsid w:val="00D32A99"/>
    <w:rsid w:val="00D32C6F"/>
    <w:rsid w:val="00D33911"/>
    <w:rsid w:val="00D33BB4"/>
    <w:rsid w:val="00D340EB"/>
    <w:rsid w:val="00D34686"/>
    <w:rsid w:val="00D34754"/>
    <w:rsid w:val="00D348E2"/>
    <w:rsid w:val="00D34C2F"/>
    <w:rsid w:val="00D34E5F"/>
    <w:rsid w:val="00D35224"/>
    <w:rsid w:val="00D352B7"/>
    <w:rsid w:val="00D35368"/>
    <w:rsid w:val="00D354FA"/>
    <w:rsid w:val="00D35550"/>
    <w:rsid w:val="00D35A7A"/>
    <w:rsid w:val="00D35BA6"/>
    <w:rsid w:val="00D35DCD"/>
    <w:rsid w:val="00D363D5"/>
    <w:rsid w:val="00D363FC"/>
    <w:rsid w:val="00D3668C"/>
    <w:rsid w:val="00D367DE"/>
    <w:rsid w:val="00D37973"/>
    <w:rsid w:val="00D410A3"/>
    <w:rsid w:val="00D411A5"/>
    <w:rsid w:val="00D41895"/>
    <w:rsid w:val="00D41C62"/>
    <w:rsid w:val="00D41F11"/>
    <w:rsid w:val="00D42C2C"/>
    <w:rsid w:val="00D42E24"/>
    <w:rsid w:val="00D43171"/>
    <w:rsid w:val="00D433B2"/>
    <w:rsid w:val="00D449A7"/>
    <w:rsid w:val="00D451AA"/>
    <w:rsid w:val="00D45498"/>
    <w:rsid w:val="00D455DD"/>
    <w:rsid w:val="00D4565E"/>
    <w:rsid w:val="00D45947"/>
    <w:rsid w:val="00D4597F"/>
    <w:rsid w:val="00D45C67"/>
    <w:rsid w:val="00D46510"/>
    <w:rsid w:val="00D46DBE"/>
    <w:rsid w:val="00D4724D"/>
    <w:rsid w:val="00D47611"/>
    <w:rsid w:val="00D47A66"/>
    <w:rsid w:val="00D47D06"/>
    <w:rsid w:val="00D47E4D"/>
    <w:rsid w:val="00D47F96"/>
    <w:rsid w:val="00D5038E"/>
    <w:rsid w:val="00D50887"/>
    <w:rsid w:val="00D51831"/>
    <w:rsid w:val="00D518BD"/>
    <w:rsid w:val="00D52020"/>
    <w:rsid w:val="00D5222B"/>
    <w:rsid w:val="00D52767"/>
    <w:rsid w:val="00D52A23"/>
    <w:rsid w:val="00D52E6C"/>
    <w:rsid w:val="00D5309B"/>
    <w:rsid w:val="00D5391B"/>
    <w:rsid w:val="00D53B7C"/>
    <w:rsid w:val="00D54608"/>
    <w:rsid w:val="00D54AEA"/>
    <w:rsid w:val="00D54C61"/>
    <w:rsid w:val="00D54DCF"/>
    <w:rsid w:val="00D55897"/>
    <w:rsid w:val="00D56777"/>
    <w:rsid w:val="00D56C77"/>
    <w:rsid w:val="00D5714F"/>
    <w:rsid w:val="00D600F2"/>
    <w:rsid w:val="00D6072B"/>
    <w:rsid w:val="00D60B5E"/>
    <w:rsid w:val="00D61A07"/>
    <w:rsid w:val="00D61BC0"/>
    <w:rsid w:val="00D62CB0"/>
    <w:rsid w:val="00D63B40"/>
    <w:rsid w:val="00D63B5D"/>
    <w:rsid w:val="00D63D61"/>
    <w:rsid w:val="00D63DFB"/>
    <w:rsid w:val="00D6442D"/>
    <w:rsid w:val="00D64D2D"/>
    <w:rsid w:val="00D65069"/>
    <w:rsid w:val="00D6596B"/>
    <w:rsid w:val="00D660E3"/>
    <w:rsid w:val="00D6672D"/>
    <w:rsid w:val="00D66C2D"/>
    <w:rsid w:val="00D67C16"/>
    <w:rsid w:val="00D70A25"/>
    <w:rsid w:val="00D70DEC"/>
    <w:rsid w:val="00D70E09"/>
    <w:rsid w:val="00D70F11"/>
    <w:rsid w:val="00D71410"/>
    <w:rsid w:val="00D71464"/>
    <w:rsid w:val="00D718AB"/>
    <w:rsid w:val="00D73400"/>
    <w:rsid w:val="00D7394E"/>
    <w:rsid w:val="00D74224"/>
    <w:rsid w:val="00D74472"/>
    <w:rsid w:val="00D75208"/>
    <w:rsid w:val="00D763B4"/>
    <w:rsid w:val="00D77237"/>
    <w:rsid w:val="00D772F6"/>
    <w:rsid w:val="00D77E2B"/>
    <w:rsid w:val="00D77FE3"/>
    <w:rsid w:val="00D804BA"/>
    <w:rsid w:val="00D808B8"/>
    <w:rsid w:val="00D814D6"/>
    <w:rsid w:val="00D821B5"/>
    <w:rsid w:val="00D82B39"/>
    <w:rsid w:val="00D8320D"/>
    <w:rsid w:val="00D83BB2"/>
    <w:rsid w:val="00D84FEC"/>
    <w:rsid w:val="00D852FD"/>
    <w:rsid w:val="00D8533D"/>
    <w:rsid w:val="00D8565A"/>
    <w:rsid w:val="00D856AF"/>
    <w:rsid w:val="00D85980"/>
    <w:rsid w:val="00D85AA6"/>
    <w:rsid w:val="00D864FB"/>
    <w:rsid w:val="00D86B0D"/>
    <w:rsid w:val="00D87495"/>
    <w:rsid w:val="00D87DB4"/>
    <w:rsid w:val="00D907AB"/>
    <w:rsid w:val="00D910B9"/>
    <w:rsid w:val="00D91300"/>
    <w:rsid w:val="00D9162C"/>
    <w:rsid w:val="00D91898"/>
    <w:rsid w:val="00D918CF"/>
    <w:rsid w:val="00D92211"/>
    <w:rsid w:val="00D9250A"/>
    <w:rsid w:val="00D927FD"/>
    <w:rsid w:val="00D92A8F"/>
    <w:rsid w:val="00D933AA"/>
    <w:rsid w:val="00D93EA5"/>
    <w:rsid w:val="00D93F0F"/>
    <w:rsid w:val="00D93F6D"/>
    <w:rsid w:val="00D9438C"/>
    <w:rsid w:val="00D952BB"/>
    <w:rsid w:val="00D96A60"/>
    <w:rsid w:val="00D97086"/>
    <w:rsid w:val="00D97583"/>
    <w:rsid w:val="00D97AC0"/>
    <w:rsid w:val="00DA0273"/>
    <w:rsid w:val="00DA0566"/>
    <w:rsid w:val="00DA0D29"/>
    <w:rsid w:val="00DA1443"/>
    <w:rsid w:val="00DA1B9D"/>
    <w:rsid w:val="00DA21D6"/>
    <w:rsid w:val="00DA2462"/>
    <w:rsid w:val="00DA2BE3"/>
    <w:rsid w:val="00DA2CEC"/>
    <w:rsid w:val="00DA36D7"/>
    <w:rsid w:val="00DA3C2A"/>
    <w:rsid w:val="00DA4A83"/>
    <w:rsid w:val="00DA5802"/>
    <w:rsid w:val="00DA5BF2"/>
    <w:rsid w:val="00DA5FDA"/>
    <w:rsid w:val="00DA6476"/>
    <w:rsid w:val="00DA745B"/>
    <w:rsid w:val="00DB009B"/>
    <w:rsid w:val="00DB031A"/>
    <w:rsid w:val="00DB0A86"/>
    <w:rsid w:val="00DB0F28"/>
    <w:rsid w:val="00DB111F"/>
    <w:rsid w:val="00DB1152"/>
    <w:rsid w:val="00DB1973"/>
    <w:rsid w:val="00DB1DD1"/>
    <w:rsid w:val="00DB1F2F"/>
    <w:rsid w:val="00DB1F8F"/>
    <w:rsid w:val="00DB2756"/>
    <w:rsid w:val="00DB28B4"/>
    <w:rsid w:val="00DB2E29"/>
    <w:rsid w:val="00DB323E"/>
    <w:rsid w:val="00DB3FC1"/>
    <w:rsid w:val="00DB449B"/>
    <w:rsid w:val="00DB4CFA"/>
    <w:rsid w:val="00DB4D33"/>
    <w:rsid w:val="00DB591C"/>
    <w:rsid w:val="00DB5C0D"/>
    <w:rsid w:val="00DB5D15"/>
    <w:rsid w:val="00DB5D6F"/>
    <w:rsid w:val="00DB5D70"/>
    <w:rsid w:val="00DB61DE"/>
    <w:rsid w:val="00DB6336"/>
    <w:rsid w:val="00DB683A"/>
    <w:rsid w:val="00DB7101"/>
    <w:rsid w:val="00DB7BAC"/>
    <w:rsid w:val="00DC0135"/>
    <w:rsid w:val="00DC016C"/>
    <w:rsid w:val="00DC0177"/>
    <w:rsid w:val="00DC0A6B"/>
    <w:rsid w:val="00DC0B6A"/>
    <w:rsid w:val="00DC0CFF"/>
    <w:rsid w:val="00DC152A"/>
    <w:rsid w:val="00DC1C76"/>
    <w:rsid w:val="00DC237B"/>
    <w:rsid w:val="00DC29C1"/>
    <w:rsid w:val="00DC3EF6"/>
    <w:rsid w:val="00DC4840"/>
    <w:rsid w:val="00DC6771"/>
    <w:rsid w:val="00DC6A28"/>
    <w:rsid w:val="00DC6A47"/>
    <w:rsid w:val="00DC6A4E"/>
    <w:rsid w:val="00DC6C52"/>
    <w:rsid w:val="00DC6D91"/>
    <w:rsid w:val="00DC6F76"/>
    <w:rsid w:val="00DC753F"/>
    <w:rsid w:val="00DD0074"/>
    <w:rsid w:val="00DD03DB"/>
    <w:rsid w:val="00DD0AE7"/>
    <w:rsid w:val="00DD0BF4"/>
    <w:rsid w:val="00DD1274"/>
    <w:rsid w:val="00DD196C"/>
    <w:rsid w:val="00DD1A48"/>
    <w:rsid w:val="00DD1D9C"/>
    <w:rsid w:val="00DD254D"/>
    <w:rsid w:val="00DD2E8A"/>
    <w:rsid w:val="00DD3FD7"/>
    <w:rsid w:val="00DD449B"/>
    <w:rsid w:val="00DD4A2D"/>
    <w:rsid w:val="00DD4B5F"/>
    <w:rsid w:val="00DD4CAB"/>
    <w:rsid w:val="00DD4CC9"/>
    <w:rsid w:val="00DD6A9D"/>
    <w:rsid w:val="00DD7A94"/>
    <w:rsid w:val="00DE089C"/>
    <w:rsid w:val="00DE0DE1"/>
    <w:rsid w:val="00DE19F6"/>
    <w:rsid w:val="00DE1A53"/>
    <w:rsid w:val="00DE2175"/>
    <w:rsid w:val="00DE2834"/>
    <w:rsid w:val="00DE28B5"/>
    <w:rsid w:val="00DE2D9C"/>
    <w:rsid w:val="00DE30BA"/>
    <w:rsid w:val="00DE36E4"/>
    <w:rsid w:val="00DE373A"/>
    <w:rsid w:val="00DE58EA"/>
    <w:rsid w:val="00DE6716"/>
    <w:rsid w:val="00DE732B"/>
    <w:rsid w:val="00DE73DC"/>
    <w:rsid w:val="00DE7623"/>
    <w:rsid w:val="00DE7D0F"/>
    <w:rsid w:val="00DF00F7"/>
    <w:rsid w:val="00DF031C"/>
    <w:rsid w:val="00DF079D"/>
    <w:rsid w:val="00DF0981"/>
    <w:rsid w:val="00DF0EA7"/>
    <w:rsid w:val="00DF12CD"/>
    <w:rsid w:val="00DF145D"/>
    <w:rsid w:val="00DF2180"/>
    <w:rsid w:val="00DF2222"/>
    <w:rsid w:val="00DF234C"/>
    <w:rsid w:val="00DF24C6"/>
    <w:rsid w:val="00DF2D02"/>
    <w:rsid w:val="00DF3276"/>
    <w:rsid w:val="00DF33A2"/>
    <w:rsid w:val="00DF37B7"/>
    <w:rsid w:val="00DF3CE4"/>
    <w:rsid w:val="00DF4732"/>
    <w:rsid w:val="00DF4CD2"/>
    <w:rsid w:val="00DF529A"/>
    <w:rsid w:val="00DF52A7"/>
    <w:rsid w:val="00DF62E4"/>
    <w:rsid w:val="00DF6436"/>
    <w:rsid w:val="00DF6B9C"/>
    <w:rsid w:val="00DF7434"/>
    <w:rsid w:val="00DF7AF5"/>
    <w:rsid w:val="00DF7DB0"/>
    <w:rsid w:val="00E00514"/>
    <w:rsid w:val="00E00E98"/>
    <w:rsid w:val="00E016F6"/>
    <w:rsid w:val="00E01E09"/>
    <w:rsid w:val="00E026C6"/>
    <w:rsid w:val="00E02C64"/>
    <w:rsid w:val="00E03039"/>
    <w:rsid w:val="00E030DC"/>
    <w:rsid w:val="00E03551"/>
    <w:rsid w:val="00E03944"/>
    <w:rsid w:val="00E04211"/>
    <w:rsid w:val="00E04360"/>
    <w:rsid w:val="00E05168"/>
    <w:rsid w:val="00E05307"/>
    <w:rsid w:val="00E0562F"/>
    <w:rsid w:val="00E06276"/>
    <w:rsid w:val="00E066ED"/>
    <w:rsid w:val="00E0677A"/>
    <w:rsid w:val="00E068A4"/>
    <w:rsid w:val="00E06C49"/>
    <w:rsid w:val="00E07072"/>
    <w:rsid w:val="00E07395"/>
    <w:rsid w:val="00E10415"/>
    <w:rsid w:val="00E105A4"/>
    <w:rsid w:val="00E109B8"/>
    <w:rsid w:val="00E10DA7"/>
    <w:rsid w:val="00E10DE5"/>
    <w:rsid w:val="00E11148"/>
    <w:rsid w:val="00E112F7"/>
    <w:rsid w:val="00E124F0"/>
    <w:rsid w:val="00E12543"/>
    <w:rsid w:val="00E126B5"/>
    <w:rsid w:val="00E126DE"/>
    <w:rsid w:val="00E12737"/>
    <w:rsid w:val="00E12AFE"/>
    <w:rsid w:val="00E12C4A"/>
    <w:rsid w:val="00E12CFD"/>
    <w:rsid w:val="00E14827"/>
    <w:rsid w:val="00E1488F"/>
    <w:rsid w:val="00E14D2E"/>
    <w:rsid w:val="00E14DEF"/>
    <w:rsid w:val="00E1529C"/>
    <w:rsid w:val="00E15DB8"/>
    <w:rsid w:val="00E15EB0"/>
    <w:rsid w:val="00E1694B"/>
    <w:rsid w:val="00E16979"/>
    <w:rsid w:val="00E1727B"/>
    <w:rsid w:val="00E17F54"/>
    <w:rsid w:val="00E17FB1"/>
    <w:rsid w:val="00E200E7"/>
    <w:rsid w:val="00E205ED"/>
    <w:rsid w:val="00E20A90"/>
    <w:rsid w:val="00E20AB3"/>
    <w:rsid w:val="00E21371"/>
    <w:rsid w:val="00E22803"/>
    <w:rsid w:val="00E22E43"/>
    <w:rsid w:val="00E23061"/>
    <w:rsid w:val="00E2382A"/>
    <w:rsid w:val="00E241B7"/>
    <w:rsid w:val="00E2424E"/>
    <w:rsid w:val="00E246C0"/>
    <w:rsid w:val="00E24B22"/>
    <w:rsid w:val="00E24BD0"/>
    <w:rsid w:val="00E263EF"/>
    <w:rsid w:val="00E2669F"/>
    <w:rsid w:val="00E27341"/>
    <w:rsid w:val="00E27DFA"/>
    <w:rsid w:val="00E27F0D"/>
    <w:rsid w:val="00E300EA"/>
    <w:rsid w:val="00E304C7"/>
    <w:rsid w:val="00E3066E"/>
    <w:rsid w:val="00E30A8A"/>
    <w:rsid w:val="00E30CB6"/>
    <w:rsid w:val="00E310BB"/>
    <w:rsid w:val="00E316A4"/>
    <w:rsid w:val="00E31C61"/>
    <w:rsid w:val="00E32054"/>
    <w:rsid w:val="00E32515"/>
    <w:rsid w:val="00E337DF"/>
    <w:rsid w:val="00E338F5"/>
    <w:rsid w:val="00E33A84"/>
    <w:rsid w:val="00E33CEE"/>
    <w:rsid w:val="00E346E9"/>
    <w:rsid w:val="00E34923"/>
    <w:rsid w:val="00E34A84"/>
    <w:rsid w:val="00E36398"/>
    <w:rsid w:val="00E364C9"/>
    <w:rsid w:val="00E36C11"/>
    <w:rsid w:val="00E36C3C"/>
    <w:rsid w:val="00E36E78"/>
    <w:rsid w:val="00E370DD"/>
    <w:rsid w:val="00E372B7"/>
    <w:rsid w:val="00E376D8"/>
    <w:rsid w:val="00E37BF1"/>
    <w:rsid w:val="00E40383"/>
    <w:rsid w:val="00E40BCB"/>
    <w:rsid w:val="00E411E1"/>
    <w:rsid w:val="00E41208"/>
    <w:rsid w:val="00E413C6"/>
    <w:rsid w:val="00E42AAA"/>
    <w:rsid w:val="00E43A79"/>
    <w:rsid w:val="00E43B00"/>
    <w:rsid w:val="00E43D5F"/>
    <w:rsid w:val="00E44506"/>
    <w:rsid w:val="00E44E31"/>
    <w:rsid w:val="00E45375"/>
    <w:rsid w:val="00E45796"/>
    <w:rsid w:val="00E45B56"/>
    <w:rsid w:val="00E47B96"/>
    <w:rsid w:val="00E50091"/>
    <w:rsid w:val="00E50549"/>
    <w:rsid w:val="00E52C34"/>
    <w:rsid w:val="00E52C64"/>
    <w:rsid w:val="00E52CCB"/>
    <w:rsid w:val="00E52D3D"/>
    <w:rsid w:val="00E530FC"/>
    <w:rsid w:val="00E5328B"/>
    <w:rsid w:val="00E5356C"/>
    <w:rsid w:val="00E53652"/>
    <w:rsid w:val="00E53764"/>
    <w:rsid w:val="00E5382A"/>
    <w:rsid w:val="00E5433B"/>
    <w:rsid w:val="00E55AA0"/>
    <w:rsid w:val="00E55B8B"/>
    <w:rsid w:val="00E5633C"/>
    <w:rsid w:val="00E56907"/>
    <w:rsid w:val="00E56F6D"/>
    <w:rsid w:val="00E5791E"/>
    <w:rsid w:val="00E57A47"/>
    <w:rsid w:val="00E57B7C"/>
    <w:rsid w:val="00E57D31"/>
    <w:rsid w:val="00E60721"/>
    <w:rsid w:val="00E61499"/>
    <w:rsid w:val="00E6163B"/>
    <w:rsid w:val="00E617FF"/>
    <w:rsid w:val="00E61D6A"/>
    <w:rsid w:val="00E6205A"/>
    <w:rsid w:val="00E62389"/>
    <w:rsid w:val="00E6277C"/>
    <w:rsid w:val="00E634F5"/>
    <w:rsid w:val="00E63A35"/>
    <w:rsid w:val="00E63FF5"/>
    <w:rsid w:val="00E64D21"/>
    <w:rsid w:val="00E64EFD"/>
    <w:rsid w:val="00E6509F"/>
    <w:rsid w:val="00E657C2"/>
    <w:rsid w:val="00E6595A"/>
    <w:rsid w:val="00E65CF2"/>
    <w:rsid w:val="00E661B9"/>
    <w:rsid w:val="00E66484"/>
    <w:rsid w:val="00E66CD3"/>
    <w:rsid w:val="00E67532"/>
    <w:rsid w:val="00E675FE"/>
    <w:rsid w:val="00E677F5"/>
    <w:rsid w:val="00E7022C"/>
    <w:rsid w:val="00E7024F"/>
    <w:rsid w:val="00E70303"/>
    <w:rsid w:val="00E70439"/>
    <w:rsid w:val="00E70CAF"/>
    <w:rsid w:val="00E70DB4"/>
    <w:rsid w:val="00E70DFC"/>
    <w:rsid w:val="00E716E9"/>
    <w:rsid w:val="00E7177B"/>
    <w:rsid w:val="00E72198"/>
    <w:rsid w:val="00E72722"/>
    <w:rsid w:val="00E732D4"/>
    <w:rsid w:val="00E73B54"/>
    <w:rsid w:val="00E73E7B"/>
    <w:rsid w:val="00E744EB"/>
    <w:rsid w:val="00E7542A"/>
    <w:rsid w:val="00E757FD"/>
    <w:rsid w:val="00E75A3F"/>
    <w:rsid w:val="00E75F2B"/>
    <w:rsid w:val="00E76373"/>
    <w:rsid w:val="00E776B6"/>
    <w:rsid w:val="00E803D0"/>
    <w:rsid w:val="00E80457"/>
    <w:rsid w:val="00E80BE1"/>
    <w:rsid w:val="00E80EB9"/>
    <w:rsid w:val="00E81584"/>
    <w:rsid w:val="00E81664"/>
    <w:rsid w:val="00E81F96"/>
    <w:rsid w:val="00E8238C"/>
    <w:rsid w:val="00E824BA"/>
    <w:rsid w:val="00E8257D"/>
    <w:rsid w:val="00E82672"/>
    <w:rsid w:val="00E83BF0"/>
    <w:rsid w:val="00E83C54"/>
    <w:rsid w:val="00E83FCE"/>
    <w:rsid w:val="00E8450C"/>
    <w:rsid w:val="00E84548"/>
    <w:rsid w:val="00E84645"/>
    <w:rsid w:val="00E84A6E"/>
    <w:rsid w:val="00E84D1D"/>
    <w:rsid w:val="00E8523A"/>
    <w:rsid w:val="00E8614C"/>
    <w:rsid w:val="00E867DD"/>
    <w:rsid w:val="00E869F9"/>
    <w:rsid w:val="00E86A58"/>
    <w:rsid w:val="00E86EA5"/>
    <w:rsid w:val="00E87664"/>
    <w:rsid w:val="00E87921"/>
    <w:rsid w:val="00E87ACA"/>
    <w:rsid w:val="00E87BD3"/>
    <w:rsid w:val="00E87C59"/>
    <w:rsid w:val="00E87D3C"/>
    <w:rsid w:val="00E87EA0"/>
    <w:rsid w:val="00E90000"/>
    <w:rsid w:val="00E90BC3"/>
    <w:rsid w:val="00E90D85"/>
    <w:rsid w:val="00E90EC5"/>
    <w:rsid w:val="00E912A0"/>
    <w:rsid w:val="00E91524"/>
    <w:rsid w:val="00E91615"/>
    <w:rsid w:val="00E91CBD"/>
    <w:rsid w:val="00E92B5C"/>
    <w:rsid w:val="00E93C8D"/>
    <w:rsid w:val="00E94330"/>
    <w:rsid w:val="00E9500C"/>
    <w:rsid w:val="00E95D22"/>
    <w:rsid w:val="00E95D6D"/>
    <w:rsid w:val="00E95D8F"/>
    <w:rsid w:val="00E95E76"/>
    <w:rsid w:val="00E96901"/>
    <w:rsid w:val="00E96B66"/>
    <w:rsid w:val="00E97919"/>
    <w:rsid w:val="00E979DB"/>
    <w:rsid w:val="00E97A30"/>
    <w:rsid w:val="00EA0881"/>
    <w:rsid w:val="00EA2249"/>
    <w:rsid w:val="00EA23FF"/>
    <w:rsid w:val="00EA2A3B"/>
    <w:rsid w:val="00EA2D95"/>
    <w:rsid w:val="00EA2D9D"/>
    <w:rsid w:val="00EA306C"/>
    <w:rsid w:val="00EA30C8"/>
    <w:rsid w:val="00EA31A1"/>
    <w:rsid w:val="00EA3294"/>
    <w:rsid w:val="00EA3B21"/>
    <w:rsid w:val="00EA594D"/>
    <w:rsid w:val="00EA6B44"/>
    <w:rsid w:val="00EA7376"/>
    <w:rsid w:val="00EA76D7"/>
    <w:rsid w:val="00EA77C8"/>
    <w:rsid w:val="00EA79D0"/>
    <w:rsid w:val="00EB03EF"/>
    <w:rsid w:val="00EB0732"/>
    <w:rsid w:val="00EB11EF"/>
    <w:rsid w:val="00EB1287"/>
    <w:rsid w:val="00EB213A"/>
    <w:rsid w:val="00EB221C"/>
    <w:rsid w:val="00EB2325"/>
    <w:rsid w:val="00EB262C"/>
    <w:rsid w:val="00EB2BC5"/>
    <w:rsid w:val="00EB2BFA"/>
    <w:rsid w:val="00EB4700"/>
    <w:rsid w:val="00EB5CA7"/>
    <w:rsid w:val="00EB63DB"/>
    <w:rsid w:val="00EB6B4E"/>
    <w:rsid w:val="00EB7184"/>
    <w:rsid w:val="00EB76B0"/>
    <w:rsid w:val="00EB790F"/>
    <w:rsid w:val="00EB7948"/>
    <w:rsid w:val="00EC0010"/>
    <w:rsid w:val="00EC04FE"/>
    <w:rsid w:val="00EC0585"/>
    <w:rsid w:val="00EC0D55"/>
    <w:rsid w:val="00EC1E85"/>
    <w:rsid w:val="00EC326C"/>
    <w:rsid w:val="00EC3A30"/>
    <w:rsid w:val="00EC4097"/>
    <w:rsid w:val="00EC4288"/>
    <w:rsid w:val="00EC48D6"/>
    <w:rsid w:val="00EC4AD7"/>
    <w:rsid w:val="00EC4C61"/>
    <w:rsid w:val="00EC4D54"/>
    <w:rsid w:val="00EC4F02"/>
    <w:rsid w:val="00EC5202"/>
    <w:rsid w:val="00EC53AA"/>
    <w:rsid w:val="00EC5600"/>
    <w:rsid w:val="00EC5B4C"/>
    <w:rsid w:val="00EC60EA"/>
    <w:rsid w:val="00EC6B73"/>
    <w:rsid w:val="00EC6E10"/>
    <w:rsid w:val="00EC70F9"/>
    <w:rsid w:val="00EC7141"/>
    <w:rsid w:val="00EC75B7"/>
    <w:rsid w:val="00EC7A94"/>
    <w:rsid w:val="00ED0378"/>
    <w:rsid w:val="00ED18F8"/>
    <w:rsid w:val="00ED195B"/>
    <w:rsid w:val="00ED2102"/>
    <w:rsid w:val="00ED2137"/>
    <w:rsid w:val="00ED21C1"/>
    <w:rsid w:val="00ED2D7D"/>
    <w:rsid w:val="00ED3277"/>
    <w:rsid w:val="00ED39E7"/>
    <w:rsid w:val="00ED4AFB"/>
    <w:rsid w:val="00ED5572"/>
    <w:rsid w:val="00ED60D8"/>
    <w:rsid w:val="00ED6E97"/>
    <w:rsid w:val="00ED7A81"/>
    <w:rsid w:val="00EE0494"/>
    <w:rsid w:val="00EE0BEB"/>
    <w:rsid w:val="00EE1489"/>
    <w:rsid w:val="00EE151D"/>
    <w:rsid w:val="00EE1562"/>
    <w:rsid w:val="00EE1593"/>
    <w:rsid w:val="00EE17DE"/>
    <w:rsid w:val="00EE1F4B"/>
    <w:rsid w:val="00EE2280"/>
    <w:rsid w:val="00EE310B"/>
    <w:rsid w:val="00EE3EE8"/>
    <w:rsid w:val="00EE4163"/>
    <w:rsid w:val="00EE4210"/>
    <w:rsid w:val="00EE4761"/>
    <w:rsid w:val="00EE4953"/>
    <w:rsid w:val="00EE4DB0"/>
    <w:rsid w:val="00EE5DC8"/>
    <w:rsid w:val="00EE5E45"/>
    <w:rsid w:val="00EE60D3"/>
    <w:rsid w:val="00EE6426"/>
    <w:rsid w:val="00EE682D"/>
    <w:rsid w:val="00EF090B"/>
    <w:rsid w:val="00EF0CCA"/>
    <w:rsid w:val="00EF0D2F"/>
    <w:rsid w:val="00EF118A"/>
    <w:rsid w:val="00EF2C26"/>
    <w:rsid w:val="00EF2DB3"/>
    <w:rsid w:val="00EF3C2C"/>
    <w:rsid w:val="00EF3E4D"/>
    <w:rsid w:val="00EF3E72"/>
    <w:rsid w:val="00EF4385"/>
    <w:rsid w:val="00EF4555"/>
    <w:rsid w:val="00EF46B6"/>
    <w:rsid w:val="00EF4A2F"/>
    <w:rsid w:val="00EF4FE7"/>
    <w:rsid w:val="00EF608E"/>
    <w:rsid w:val="00EF68BE"/>
    <w:rsid w:val="00EF6D63"/>
    <w:rsid w:val="00EF6E7C"/>
    <w:rsid w:val="00EF798F"/>
    <w:rsid w:val="00F00768"/>
    <w:rsid w:val="00F0111E"/>
    <w:rsid w:val="00F0184E"/>
    <w:rsid w:val="00F01FF2"/>
    <w:rsid w:val="00F022B7"/>
    <w:rsid w:val="00F02437"/>
    <w:rsid w:val="00F024A9"/>
    <w:rsid w:val="00F024ED"/>
    <w:rsid w:val="00F02756"/>
    <w:rsid w:val="00F02764"/>
    <w:rsid w:val="00F02773"/>
    <w:rsid w:val="00F02D6E"/>
    <w:rsid w:val="00F0326A"/>
    <w:rsid w:val="00F03281"/>
    <w:rsid w:val="00F035CB"/>
    <w:rsid w:val="00F03FAE"/>
    <w:rsid w:val="00F04939"/>
    <w:rsid w:val="00F049ED"/>
    <w:rsid w:val="00F04A3F"/>
    <w:rsid w:val="00F04DD7"/>
    <w:rsid w:val="00F050E4"/>
    <w:rsid w:val="00F05AD7"/>
    <w:rsid w:val="00F06CAC"/>
    <w:rsid w:val="00F07055"/>
    <w:rsid w:val="00F07380"/>
    <w:rsid w:val="00F07A42"/>
    <w:rsid w:val="00F10353"/>
    <w:rsid w:val="00F10429"/>
    <w:rsid w:val="00F108BF"/>
    <w:rsid w:val="00F114DA"/>
    <w:rsid w:val="00F11A2C"/>
    <w:rsid w:val="00F11B6E"/>
    <w:rsid w:val="00F12135"/>
    <w:rsid w:val="00F12446"/>
    <w:rsid w:val="00F12BAB"/>
    <w:rsid w:val="00F13126"/>
    <w:rsid w:val="00F13A7F"/>
    <w:rsid w:val="00F13C6F"/>
    <w:rsid w:val="00F13DBF"/>
    <w:rsid w:val="00F13F21"/>
    <w:rsid w:val="00F140CD"/>
    <w:rsid w:val="00F143E6"/>
    <w:rsid w:val="00F14966"/>
    <w:rsid w:val="00F14A77"/>
    <w:rsid w:val="00F14B6D"/>
    <w:rsid w:val="00F1542B"/>
    <w:rsid w:val="00F1589A"/>
    <w:rsid w:val="00F159FA"/>
    <w:rsid w:val="00F15C52"/>
    <w:rsid w:val="00F15DD3"/>
    <w:rsid w:val="00F16C89"/>
    <w:rsid w:val="00F172A0"/>
    <w:rsid w:val="00F1739E"/>
    <w:rsid w:val="00F173CB"/>
    <w:rsid w:val="00F17B97"/>
    <w:rsid w:val="00F200CE"/>
    <w:rsid w:val="00F20AF3"/>
    <w:rsid w:val="00F20FFB"/>
    <w:rsid w:val="00F2114D"/>
    <w:rsid w:val="00F21187"/>
    <w:rsid w:val="00F2128D"/>
    <w:rsid w:val="00F213D7"/>
    <w:rsid w:val="00F217FD"/>
    <w:rsid w:val="00F21966"/>
    <w:rsid w:val="00F22EE9"/>
    <w:rsid w:val="00F22FEB"/>
    <w:rsid w:val="00F230B7"/>
    <w:rsid w:val="00F23125"/>
    <w:rsid w:val="00F23C5A"/>
    <w:rsid w:val="00F23E58"/>
    <w:rsid w:val="00F24DFC"/>
    <w:rsid w:val="00F2507F"/>
    <w:rsid w:val="00F250CF"/>
    <w:rsid w:val="00F26566"/>
    <w:rsid w:val="00F2665E"/>
    <w:rsid w:val="00F266A2"/>
    <w:rsid w:val="00F269F2"/>
    <w:rsid w:val="00F26DF4"/>
    <w:rsid w:val="00F27024"/>
    <w:rsid w:val="00F27844"/>
    <w:rsid w:val="00F27EE2"/>
    <w:rsid w:val="00F30164"/>
    <w:rsid w:val="00F30167"/>
    <w:rsid w:val="00F303A4"/>
    <w:rsid w:val="00F309A2"/>
    <w:rsid w:val="00F30A01"/>
    <w:rsid w:val="00F30A15"/>
    <w:rsid w:val="00F31792"/>
    <w:rsid w:val="00F3216F"/>
    <w:rsid w:val="00F3235D"/>
    <w:rsid w:val="00F3243B"/>
    <w:rsid w:val="00F32563"/>
    <w:rsid w:val="00F32D8B"/>
    <w:rsid w:val="00F32DCA"/>
    <w:rsid w:val="00F33659"/>
    <w:rsid w:val="00F33F79"/>
    <w:rsid w:val="00F341E0"/>
    <w:rsid w:val="00F344F9"/>
    <w:rsid w:val="00F3484F"/>
    <w:rsid w:val="00F34C24"/>
    <w:rsid w:val="00F3502F"/>
    <w:rsid w:val="00F35075"/>
    <w:rsid w:val="00F350AD"/>
    <w:rsid w:val="00F353A5"/>
    <w:rsid w:val="00F35FE0"/>
    <w:rsid w:val="00F3610C"/>
    <w:rsid w:val="00F366CD"/>
    <w:rsid w:val="00F368BE"/>
    <w:rsid w:val="00F36E9B"/>
    <w:rsid w:val="00F3742A"/>
    <w:rsid w:val="00F37D87"/>
    <w:rsid w:val="00F37F86"/>
    <w:rsid w:val="00F4017D"/>
    <w:rsid w:val="00F406A7"/>
    <w:rsid w:val="00F40724"/>
    <w:rsid w:val="00F40C80"/>
    <w:rsid w:val="00F4150B"/>
    <w:rsid w:val="00F41519"/>
    <w:rsid w:val="00F42A7B"/>
    <w:rsid w:val="00F42CD9"/>
    <w:rsid w:val="00F43144"/>
    <w:rsid w:val="00F4323E"/>
    <w:rsid w:val="00F43B55"/>
    <w:rsid w:val="00F43ECC"/>
    <w:rsid w:val="00F4436C"/>
    <w:rsid w:val="00F4491A"/>
    <w:rsid w:val="00F44C0F"/>
    <w:rsid w:val="00F4586D"/>
    <w:rsid w:val="00F45A80"/>
    <w:rsid w:val="00F45F43"/>
    <w:rsid w:val="00F4738D"/>
    <w:rsid w:val="00F4738F"/>
    <w:rsid w:val="00F4787D"/>
    <w:rsid w:val="00F50012"/>
    <w:rsid w:val="00F502CB"/>
    <w:rsid w:val="00F51336"/>
    <w:rsid w:val="00F51604"/>
    <w:rsid w:val="00F51A88"/>
    <w:rsid w:val="00F51E37"/>
    <w:rsid w:val="00F52091"/>
    <w:rsid w:val="00F5220A"/>
    <w:rsid w:val="00F53EA3"/>
    <w:rsid w:val="00F54896"/>
    <w:rsid w:val="00F54FD5"/>
    <w:rsid w:val="00F55508"/>
    <w:rsid w:val="00F55BB2"/>
    <w:rsid w:val="00F55D12"/>
    <w:rsid w:val="00F56661"/>
    <w:rsid w:val="00F566BA"/>
    <w:rsid w:val="00F57056"/>
    <w:rsid w:val="00F605BE"/>
    <w:rsid w:val="00F60684"/>
    <w:rsid w:val="00F60E71"/>
    <w:rsid w:val="00F611F7"/>
    <w:rsid w:val="00F61810"/>
    <w:rsid w:val="00F618AA"/>
    <w:rsid w:val="00F6253C"/>
    <w:rsid w:val="00F62B80"/>
    <w:rsid w:val="00F63101"/>
    <w:rsid w:val="00F63223"/>
    <w:rsid w:val="00F63880"/>
    <w:rsid w:val="00F64253"/>
    <w:rsid w:val="00F6457E"/>
    <w:rsid w:val="00F65AE7"/>
    <w:rsid w:val="00F66546"/>
    <w:rsid w:val="00F6665B"/>
    <w:rsid w:val="00F66923"/>
    <w:rsid w:val="00F679E0"/>
    <w:rsid w:val="00F706AC"/>
    <w:rsid w:val="00F707F0"/>
    <w:rsid w:val="00F709E8"/>
    <w:rsid w:val="00F71A30"/>
    <w:rsid w:val="00F71E61"/>
    <w:rsid w:val="00F7244A"/>
    <w:rsid w:val="00F724F9"/>
    <w:rsid w:val="00F72542"/>
    <w:rsid w:val="00F726D6"/>
    <w:rsid w:val="00F73077"/>
    <w:rsid w:val="00F73D30"/>
    <w:rsid w:val="00F74013"/>
    <w:rsid w:val="00F74237"/>
    <w:rsid w:val="00F74DBE"/>
    <w:rsid w:val="00F7577F"/>
    <w:rsid w:val="00F75931"/>
    <w:rsid w:val="00F75FC8"/>
    <w:rsid w:val="00F761DA"/>
    <w:rsid w:val="00F762DF"/>
    <w:rsid w:val="00F76548"/>
    <w:rsid w:val="00F7708B"/>
    <w:rsid w:val="00F771E5"/>
    <w:rsid w:val="00F772D9"/>
    <w:rsid w:val="00F810ED"/>
    <w:rsid w:val="00F82FD9"/>
    <w:rsid w:val="00F832E6"/>
    <w:rsid w:val="00F83554"/>
    <w:rsid w:val="00F8403E"/>
    <w:rsid w:val="00F84140"/>
    <w:rsid w:val="00F841BA"/>
    <w:rsid w:val="00F8434F"/>
    <w:rsid w:val="00F84C4E"/>
    <w:rsid w:val="00F852A6"/>
    <w:rsid w:val="00F8617A"/>
    <w:rsid w:val="00F861A8"/>
    <w:rsid w:val="00F86CFA"/>
    <w:rsid w:val="00F8732F"/>
    <w:rsid w:val="00F87E6E"/>
    <w:rsid w:val="00F90591"/>
    <w:rsid w:val="00F90B10"/>
    <w:rsid w:val="00F91A47"/>
    <w:rsid w:val="00F91AD1"/>
    <w:rsid w:val="00F91CE0"/>
    <w:rsid w:val="00F91E63"/>
    <w:rsid w:val="00F9223F"/>
    <w:rsid w:val="00F924ED"/>
    <w:rsid w:val="00F92A05"/>
    <w:rsid w:val="00F93EC8"/>
    <w:rsid w:val="00F94001"/>
    <w:rsid w:val="00F947A4"/>
    <w:rsid w:val="00F9491F"/>
    <w:rsid w:val="00F955FA"/>
    <w:rsid w:val="00F9573F"/>
    <w:rsid w:val="00F96A99"/>
    <w:rsid w:val="00F977E3"/>
    <w:rsid w:val="00FA00C2"/>
    <w:rsid w:val="00FA0976"/>
    <w:rsid w:val="00FA184B"/>
    <w:rsid w:val="00FA193A"/>
    <w:rsid w:val="00FA21E3"/>
    <w:rsid w:val="00FA2BD5"/>
    <w:rsid w:val="00FA2DF3"/>
    <w:rsid w:val="00FA39A5"/>
    <w:rsid w:val="00FA3B3F"/>
    <w:rsid w:val="00FA43D1"/>
    <w:rsid w:val="00FA4977"/>
    <w:rsid w:val="00FA5C0E"/>
    <w:rsid w:val="00FA623D"/>
    <w:rsid w:val="00FA6DAB"/>
    <w:rsid w:val="00FA70EB"/>
    <w:rsid w:val="00FA72BC"/>
    <w:rsid w:val="00FA7F8A"/>
    <w:rsid w:val="00FB0459"/>
    <w:rsid w:val="00FB1293"/>
    <w:rsid w:val="00FB22DC"/>
    <w:rsid w:val="00FB238B"/>
    <w:rsid w:val="00FB27A5"/>
    <w:rsid w:val="00FB29F2"/>
    <w:rsid w:val="00FB2E5E"/>
    <w:rsid w:val="00FB316E"/>
    <w:rsid w:val="00FB39F6"/>
    <w:rsid w:val="00FB44E2"/>
    <w:rsid w:val="00FB5662"/>
    <w:rsid w:val="00FB5DF7"/>
    <w:rsid w:val="00FB634D"/>
    <w:rsid w:val="00FB6420"/>
    <w:rsid w:val="00FB7255"/>
    <w:rsid w:val="00FB75BC"/>
    <w:rsid w:val="00FB78A9"/>
    <w:rsid w:val="00FB7947"/>
    <w:rsid w:val="00FB7B75"/>
    <w:rsid w:val="00FC0863"/>
    <w:rsid w:val="00FC16FA"/>
    <w:rsid w:val="00FC24F7"/>
    <w:rsid w:val="00FC2A71"/>
    <w:rsid w:val="00FC3706"/>
    <w:rsid w:val="00FC38EA"/>
    <w:rsid w:val="00FC3E47"/>
    <w:rsid w:val="00FC41D3"/>
    <w:rsid w:val="00FC4B48"/>
    <w:rsid w:val="00FC5342"/>
    <w:rsid w:val="00FC5613"/>
    <w:rsid w:val="00FC5E49"/>
    <w:rsid w:val="00FC5EAF"/>
    <w:rsid w:val="00FC63AE"/>
    <w:rsid w:val="00FC65DF"/>
    <w:rsid w:val="00FC6812"/>
    <w:rsid w:val="00FC76F5"/>
    <w:rsid w:val="00FC7851"/>
    <w:rsid w:val="00FD02B5"/>
    <w:rsid w:val="00FD0350"/>
    <w:rsid w:val="00FD0979"/>
    <w:rsid w:val="00FD1644"/>
    <w:rsid w:val="00FD1CBC"/>
    <w:rsid w:val="00FD2B09"/>
    <w:rsid w:val="00FD2BEB"/>
    <w:rsid w:val="00FD3277"/>
    <w:rsid w:val="00FD34B6"/>
    <w:rsid w:val="00FD39FA"/>
    <w:rsid w:val="00FD43BC"/>
    <w:rsid w:val="00FD50CE"/>
    <w:rsid w:val="00FD523C"/>
    <w:rsid w:val="00FD5745"/>
    <w:rsid w:val="00FD5ABC"/>
    <w:rsid w:val="00FD66D7"/>
    <w:rsid w:val="00FD67BA"/>
    <w:rsid w:val="00FD6C98"/>
    <w:rsid w:val="00FD7142"/>
    <w:rsid w:val="00FD7179"/>
    <w:rsid w:val="00FD7683"/>
    <w:rsid w:val="00FD76A8"/>
    <w:rsid w:val="00FD7957"/>
    <w:rsid w:val="00FE0005"/>
    <w:rsid w:val="00FE095E"/>
    <w:rsid w:val="00FE0C2C"/>
    <w:rsid w:val="00FE0E0A"/>
    <w:rsid w:val="00FE13F4"/>
    <w:rsid w:val="00FE1C87"/>
    <w:rsid w:val="00FE1D38"/>
    <w:rsid w:val="00FE1D87"/>
    <w:rsid w:val="00FE28AE"/>
    <w:rsid w:val="00FE2C4B"/>
    <w:rsid w:val="00FE35E9"/>
    <w:rsid w:val="00FE3A34"/>
    <w:rsid w:val="00FE3B53"/>
    <w:rsid w:val="00FE3E6F"/>
    <w:rsid w:val="00FE42D2"/>
    <w:rsid w:val="00FE443A"/>
    <w:rsid w:val="00FE44C2"/>
    <w:rsid w:val="00FE455E"/>
    <w:rsid w:val="00FE4E34"/>
    <w:rsid w:val="00FE63DE"/>
    <w:rsid w:val="00FE78C7"/>
    <w:rsid w:val="00FE7997"/>
    <w:rsid w:val="00FE79B3"/>
    <w:rsid w:val="00FE7AFC"/>
    <w:rsid w:val="00FF039D"/>
    <w:rsid w:val="00FF041E"/>
    <w:rsid w:val="00FF06E1"/>
    <w:rsid w:val="00FF06F6"/>
    <w:rsid w:val="00FF0BA9"/>
    <w:rsid w:val="00FF0BD6"/>
    <w:rsid w:val="00FF0C00"/>
    <w:rsid w:val="00FF0F8C"/>
    <w:rsid w:val="00FF1333"/>
    <w:rsid w:val="00FF29DC"/>
    <w:rsid w:val="00FF2B5A"/>
    <w:rsid w:val="00FF2E77"/>
    <w:rsid w:val="00FF3115"/>
    <w:rsid w:val="00FF3917"/>
    <w:rsid w:val="00FF3ABB"/>
    <w:rsid w:val="00FF403D"/>
    <w:rsid w:val="00FF475C"/>
    <w:rsid w:val="00FF4B91"/>
    <w:rsid w:val="00FF4CDE"/>
    <w:rsid w:val="00FF50B8"/>
    <w:rsid w:val="00FF53ED"/>
    <w:rsid w:val="00FF610A"/>
    <w:rsid w:val="00FF67BF"/>
    <w:rsid w:val="00FF6822"/>
    <w:rsid w:val="00FF6A07"/>
    <w:rsid w:val="00FF6AEA"/>
    <w:rsid w:val="00FF7217"/>
    <w:rsid w:val="00FF7251"/>
    <w:rsid w:val="00FF7AA1"/>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style="mso-width-percent:900;v-text-anchor:bottom" fill="f" fillcolor="white" strokecolor="white">
      <v:fill color="white" on="f"/>
      <v:stroke color="white" weight=".5pt"/>
      <v:textbox inset=",,,0"/>
    </o:shapedefaults>
    <o:shapelayout v:ext="edit">
      <o:idmap v:ext="edit" data="1"/>
    </o:shapelayout>
  </w:shapeDefaults>
  <w:decimalSymbol w:val=","/>
  <w:listSeparator w:val=";"/>
  <w15:chartTrackingRefBased/>
  <w15:docId w15:val="{A48468CB-6664-452A-918C-A41742F1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lang w:val="en-US"/>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DB4D33"/>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DB4D33"/>
    <w:rPr>
      <w:rFonts w:ascii="Arial" w:hAnsi="Arial"/>
      <w:b/>
      <w:bCs/>
      <w:iCs/>
      <w:sz w:val="28"/>
      <w:szCs w:val="28"/>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864FA4"/>
    <w:pPr>
      <w:tabs>
        <w:tab w:val="right" w:leader="dot" w:pos="9639"/>
      </w:tabs>
      <w:spacing w:line="276" w:lineRule="auto"/>
    </w:pPr>
    <w:rPr>
      <w:rFonts w:cs="Calibri"/>
      <w:noProof/>
      <w:sz w:val="22"/>
      <w:szCs w:val="22"/>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paragraph" w:styleId="aff8">
    <w:name w:val="Normal (Web)"/>
    <w:basedOn w:val="a1"/>
    <w:uiPriority w:val="99"/>
    <w:unhideWhenUsed/>
    <w:rsid w:val="00A302C0"/>
    <w:pPr>
      <w:spacing w:before="100" w:beforeAutospacing="1" w:after="100" w:afterAutospacing="1"/>
    </w:pPr>
    <w:rPr>
      <w:rFonts w:ascii="Times New Roman" w:hAnsi="Times New Roman"/>
    </w:rPr>
  </w:style>
  <w:style w:type="table" w:styleId="-41">
    <w:name w:val="List Table 4 Accent 1"/>
    <w:basedOn w:val="a3"/>
    <w:uiPriority w:val="49"/>
    <w:rsid w:val="009304D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45440F"/>
    <w:pPr>
      <w:autoSpaceDE w:val="0"/>
      <w:autoSpaceDN w:val="0"/>
      <w:adjustRightInd w:val="0"/>
    </w:pPr>
    <w:rPr>
      <w:rFonts w:cs="Calibri"/>
      <w:color w:val="000000"/>
      <w:sz w:val="24"/>
      <w:szCs w:val="24"/>
    </w:rPr>
  </w:style>
  <w:style w:type="table" w:styleId="-35">
    <w:name w:val="List Table 3 Accent 5"/>
    <w:basedOn w:val="a3"/>
    <w:uiPriority w:val="48"/>
    <w:rsid w:val="00C87CBC"/>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aff9">
    <w:name w:val="FollowedHyperlink"/>
    <w:uiPriority w:val="99"/>
    <w:semiHidden/>
    <w:unhideWhenUsed/>
    <w:rsid w:val="004A50A8"/>
    <w:rPr>
      <w:color w:val="954F72"/>
      <w:u w:val="single"/>
    </w:rPr>
  </w:style>
  <w:style w:type="paragraph" w:customStyle="1" w:styleId="msonormal0">
    <w:name w:val="msonormal"/>
    <w:basedOn w:val="a1"/>
    <w:rsid w:val="004A50A8"/>
    <w:pPr>
      <w:spacing w:before="100" w:beforeAutospacing="1" w:after="100" w:afterAutospacing="1"/>
    </w:pPr>
    <w:rPr>
      <w:rFonts w:ascii="Times New Roman" w:hAnsi="Times New Roman"/>
    </w:rPr>
  </w:style>
  <w:style w:type="paragraph" w:customStyle="1" w:styleId="font5">
    <w:name w:val="font5"/>
    <w:basedOn w:val="a1"/>
    <w:rsid w:val="004A50A8"/>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4A50A8"/>
    <w:pPr>
      <w:spacing w:before="100" w:beforeAutospacing="1" w:after="100" w:afterAutospacing="1"/>
      <w:jc w:val="center"/>
    </w:pPr>
    <w:rPr>
      <w:rFonts w:ascii="Times New Roman" w:hAnsi="Times New Roman"/>
    </w:rPr>
  </w:style>
  <w:style w:type="paragraph" w:customStyle="1" w:styleId="xl66">
    <w:name w:val="xl66"/>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a1"/>
    <w:rsid w:val="004A50A8"/>
    <w:pPr>
      <w:spacing w:before="100" w:beforeAutospacing="1" w:after="100" w:afterAutospacing="1"/>
    </w:pPr>
    <w:rPr>
      <w:rFonts w:ascii="Times New Roman" w:hAnsi="Times New Roman"/>
      <w:b/>
      <w:bCs/>
    </w:rPr>
  </w:style>
  <w:style w:type="paragraph" w:customStyle="1" w:styleId="xl69">
    <w:name w:val="xl6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0">
    <w:name w:val="xl7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1">
    <w:name w:val="xl7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4">
    <w:name w:val="xl74"/>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5">
    <w:name w:val="xl75"/>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6">
    <w:name w:val="xl76"/>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7">
    <w:name w:val="xl77"/>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78">
    <w:name w:val="xl78"/>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9">
    <w:name w:val="xl79"/>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0">
    <w:name w:val="xl8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2">
    <w:name w:val="xl82"/>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3">
    <w:name w:val="xl83"/>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4A50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4A50A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5">
    <w:name w:val="xl65"/>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rPr>
  </w:style>
  <w:style w:type="paragraph" w:customStyle="1" w:styleId="xl81">
    <w:name w:val="xl8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7">
    <w:name w:val="xl87"/>
    <w:basedOn w:val="a1"/>
    <w:rsid w:val="004A50A8"/>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hAnsi="Times New Roman"/>
    </w:rPr>
  </w:style>
  <w:style w:type="paragraph" w:customStyle="1" w:styleId="xl88">
    <w:name w:val="xl88"/>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table" w:styleId="-31">
    <w:name w:val="List Table 3 Accent 1"/>
    <w:basedOn w:val="a3"/>
    <w:uiPriority w:val="48"/>
    <w:rsid w:val="004A50A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l93">
    <w:name w:val="xl93"/>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8E4653"/>
    <w:rPr>
      <w:i/>
      <w:iCs/>
      <w:sz w:val="24"/>
      <w:szCs w:val="24"/>
    </w:rPr>
  </w:style>
  <w:style w:type="paragraph" w:styleId="HTML0">
    <w:name w:val="HTML Address"/>
    <w:basedOn w:val="a1"/>
    <w:link w:val="HTML"/>
    <w:uiPriority w:val="99"/>
    <w:semiHidden/>
    <w:unhideWhenUsed/>
    <w:rsid w:val="008E4653"/>
    <w:rPr>
      <w:i/>
      <w:iCs/>
    </w:rPr>
  </w:style>
  <w:style w:type="character" w:customStyle="1" w:styleId="HTML1">
    <w:name w:val="Стандартный HTML Знак"/>
    <w:basedOn w:val="a2"/>
    <w:link w:val="HTML2"/>
    <w:uiPriority w:val="99"/>
    <w:semiHidden/>
    <w:rsid w:val="008E4653"/>
    <w:rPr>
      <w:rFonts w:ascii="Consolas" w:hAnsi="Consolas"/>
    </w:rPr>
  </w:style>
  <w:style w:type="paragraph" w:styleId="HTML2">
    <w:name w:val="HTML Preformatted"/>
    <w:basedOn w:val="a1"/>
    <w:link w:val="HTML1"/>
    <w:uiPriority w:val="99"/>
    <w:semiHidden/>
    <w:unhideWhenUsed/>
    <w:rsid w:val="008E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affa">
    <w:name w:val="Текст макроса Знак"/>
    <w:basedOn w:val="a2"/>
    <w:link w:val="affb"/>
    <w:uiPriority w:val="99"/>
    <w:semiHidden/>
    <w:rsid w:val="008E4653"/>
    <w:rPr>
      <w:rFonts w:ascii="Consolas" w:hAnsi="Consolas"/>
    </w:rPr>
  </w:style>
  <w:style w:type="paragraph" w:styleId="affb">
    <w:name w:val="macro"/>
    <w:link w:val="affa"/>
    <w:uiPriority w:val="99"/>
    <w:semiHidden/>
    <w:unhideWhenUsed/>
    <w:rsid w:val="008E465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0">
    <w:name w:val="List Bullet"/>
    <w:basedOn w:val="a1"/>
    <w:uiPriority w:val="99"/>
    <w:semiHidden/>
    <w:unhideWhenUsed/>
    <w:rsid w:val="008E4653"/>
    <w:pPr>
      <w:numPr>
        <w:numId w:val="3"/>
      </w:numPr>
      <w:contextualSpacing/>
    </w:pPr>
  </w:style>
  <w:style w:type="paragraph" w:styleId="a">
    <w:name w:val="List Number"/>
    <w:basedOn w:val="a1"/>
    <w:uiPriority w:val="99"/>
    <w:semiHidden/>
    <w:unhideWhenUsed/>
    <w:rsid w:val="008E4653"/>
    <w:pPr>
      <w:numPr>
        <w:numId w:val="4"/>
      </w:numPr>
      <w:contextualSpacing/>
    </w:pPr>
  </w:style>
  <w:style w:type="paragraph" w:styleId="20">
    <w:name w:val="List Bullet 2"/>
    <w:basedOn w:val="a1"/>
    <w:uiPriority w:val="99"/>
    <w:semiHidden/>
    <w:unhideWhenUsed/>
    <w:rsid w:val="008E4653"/>
    <w:pPr>
      <w:numPr>
        <w:numId w:val="5"/>
      </w:numPr>
      <w:contextualSpacing/>
    </w:pPr>
  </w:style>
  <w:style w:type="paragraph" w:styleId="30">
    <w:name w:val="List Bullet 3"/>
    <w:basedOn w:val="a1"/>
    <w:uiPriority w:val="99"/>
    <w:semiHidden/>
    <w:unhideWhenUsed/>
    <w:rsid w:val="008E4653"/>
    <w:pPr>
      <w:numPr>
        <w:numId w:val="6"/>
      </w:numPr>
      <w:contextualSpacing/>
    </w:pPr>
  </w:style>
  <w:style w:type="paragraph" w:styleId="40">
    <w:name w:val="List Bullet 4"/>
    <w:basedOn w:val="a1"/>
    <w:uiPriority w:val="99"/>
    <w:semiHidden/>
    <w:unhideWhenUsed/>
    <w:rsid w:val="008E4653"/>
    <w:pPr>
      <w:numPr>
        <w:numId w:val="7"/>
      </w:numPr>
      <w:contextualSpacing/>
    </w:pPr>
  </w:style>
  <w:style w:type="paragraph" w:styleId="50">
    <w:name w:val="List Bullet 5"/>
    <w:basedOn w:val="a1"/>
    <w:uiPriority w:val="99"/>
    <w:semiHidden/>
    <w:unhideWhenUsed/>
    <w:rsid w:val="008E4653"/>
    <w:pPr>
      <w:numPr>
        <w:numId w:val="8"/>
      </w:numPr>
      <w:contextualSpacing/>
    </w:pPr>
  </w:style>
  <w:style w:type="paragraph" w:styleId="2">
    <w:name w:val="List Number 2"/>
    <w:basedOn w:val="a1"/>
    <w:uiPriority w:val="99"/>
    <w:semiHidden/>
    <w:unhideWhenUsed/>
    <w:rsid w:val="008E4653"/>
    <w:pPr>
      <w:numPr>
        <w:numId w:val="9"/>
      </w:numPr>
      <w:contextualSpacing/>
    </w:pPr>
  </w:style>
  <w:style w:type="paragraph" w:styleId="3">
    <w:name w:val="List Number 3"/>
    <w:basedOn w:val="a1"/>
    <w:uiPriority w:val="99"/>
    <w:semiHidden/>
    <w:unhideWhenUsed/>
    <w:rsid w:val="008E4653"/>
    <w:pPr>
      <w:numPr>
        <w:numId w:val="10"/>
      </w:numPr>
      <w:contextualSpacing/>
    </w:pPr>
  </w:style>
  <w:style w:type="paragraph" w:styleId="4">
    <w:name w:val="List Number 4"/>
    <w:basedOn w:val="a1"/>
    <w:uiPriority w:val="99"/>
    <w:semiHidden/>
    <w:unhideWhenUsed/>
    <w:rsid w:val="008E4653"/>
    <w:pPr>
      <w:numPr>
        <w:numId w:val="11"/>
      </w:numPr>
      <w:contextualSpacing/>
    </w:pPr>
  </w:style>
  <w:style w:type="paragraph" w:styleId="5">
    <w:name w:val="List Number 5"/>
    <w:basedOn w:val="a1"/>
    <w:uiPriority w:val="99"/>
    <w:semiHidden/>
    <w:unhideWhenUsed/>
    <w:rsid w:val="008E4653"/>
    <w:pPr>
      <w:numPr>
        <w:numId w:val="12"/>
      </w:numPr>
      <w:contextualSpacing/>
    </w:pPr>
  </w:style>
  <w:style w:type="character" w:customStyle="1" w:styleId="affc">
    <w:name w:val="Прощание Знак"/>
    <w:basedOn w:val="a2"/>
    <w:link w:val="affd"/>
    <w:uiPriority w:val="99"/>
    <w:semiHidden/>
    <w:rsid w:val="008E4653"/>
    <w:rPr>
      <w:sz w:val="24"/>
      <w:szCs w:val="24"/>
    </w:rPr>
  </w:style>
  <w:style w:type="paragraph" w:styleId="affd">
    <w:name w:val="Closing"/>
    <w:basedOn w:val="a1"/>
    <w:link w:val="affc"/>
    <w:uiPriority w:val="99"/>
    <w:semiHidden/>
    <w:unhideWhenUsed/>
    <w:rsid w:val="008E4653"/>
    <w:pPr>
      <w:ind w:left="4252"/>
    </w:pPr>
  </w:style>
  <w:style w:type="character" w:customStyle="1" w:styleId="affe">
    <w:name w:val="Подпись Знак"/>
    <w:basedOn w:val="a2"/>
    <w:link w:val="afff"/>
    <w:uiPriority w:val="99"/>
    <w:semiHidden/>
    <w:rsid w:val="008E4653"/>
    <w:rPr>
      <w:sz w:val="24"/>
      <w:szCs w:val="24"/>
    </w:rPr>
  </w:style>
  <w:style w:type="paragraph" w:styleId="afff">
    <w:name w:val="Signature"/>
    <w:basedOn w:val="a1"/>
    <w:link w:val="affe"/>
    <w:uiPriority w:val="99"/>
    <w:semiHidden/>
    <w:unhideWhenUsed/>
    <w:rsid w:val="008E4653"/>
    <w:pPr>
      <w:ind w:left="4252"/>
    </w:pPr>
  </w:style>
  <w:style w:type="character" w:customStyle="1" w:styleId="afff0">
    <w:name w:val="Основной текст Знак"/>
    <w:basedOn w:val="a2"/>
    <w:link w:val="afff1"/>
    <w:uiPriority w:val="99"/>
    <w:semiHidden/>
    <w:rsid w:val="008E4653"/>
    <w:rPr>
      <w:sz w:val="24"/>
      <w:szCs w:val="24"/>
    </w:rPr>
  </w:style>
  <w:style w:type="paragraph" w:styleId="afff1">
    <w:name w:val="Body Text"/>
    <w:basedOn w:val="a1"/>
    <w:link w:val="afff0"/>
    <w:uiPriority w:val="99"/>
    <w:semiHidden/>
    <w:unhideWhenUsed/>
    <w:rsid w:val="008E4653"/>
    <w:pPr>
      <w:spacing w:after="120"/>
    </w:pPr>
  </w:style>
  <w:style w:type="character" w:customStyle="1" w:styleId="afff2">
    <w:name w:val="Основной текст с отступом Знак"/>
    <w:basedOn w:val="a2"/>
    <w:link w:val="afff3"/>
    <w:uiPriority w:val="99"/>
    <w:semiHidden/>
    <w:rsid w:val="008E4653"/>
    <w:rPr>
      <w:sz w:val="24"/>
      <w:szCs w:val="24"/>
    </w:rPr>
  </w:style>
  <w:style w:type="paragraph" w:styleId="afff3">
    <w:name w:val="Body Text Indent"/>
    <w:basedOn w:val="a1"/>
    <w:link w:val="afff2"/>
    <w:uiPriority w:val="99"/>
    <w:semiHidden/>
    <w:unhideWhenUsed/>
    <w:rsid w:val="008E4653"/>
    <w:pPr>
      <w:spacing w:after="120"/>
      <w:ind w:left="283"/>
    </w:pPr>
  </w:style>
  <w:style w:type="character" w:customStyle="1" w:styleId="afff4">
    <w:name w:val="Шапка Знак"/>
    <w:basedOn w:val="a2"/>
    <w:link w:val="afff5"/>
    <w:uiPriority w:val="99"/>
    <w:semiHidden/>
    <w:rsid w:val="008E4653"/>
    <w:rPr>
      <w:rFonts w:asciiTheme="majorHAnsi" w:eastAsiaTheme="majorEastAsia" w:hAnsiTheme="majorHAnsi" w:cstheme="majorBidi"/>
      <w:sz w:val="24"/>
      <w:szCs w:val="24"/>
      <w:shd w:val="pct20" w:color="auto" w:fill="auto"/>
    </w:rPr>
  </w:style>
  <w:style w:type="paragraph" w:styleId="afff5">
    <w:name w:val="Message Header"/>
    <w:basedOn w:val="a1"/>
    <w:link w:val="afff4"/>
    <w:uiPriority w:val="99"/>
    <w:semiHidden/>
    <w:unhideWhenUsed/>
    <w:rsid w:val="008E46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6">
    <w:name w:val="Приветствие Знак"/>
    <w:basedOn w:val="a2"/>
    <w:link w:val="afff7"/>
    <w:uiPriority w:val="99"/>
    <w:semiHidden/>
    <w:rsid w:val="008E4653"/>
    <w:rPr>
      <w:sz w:val="24"/>
      <w:szCs w:val="24"/>
    </w:rPr>
  </w:style>
  <w:style w:type="paragraph" w:styleId="afff7">
    <w:name w:val="Salutation"/>
    <w:basedOn w:val="a1"/>
    <w:next w:val="a1"/>
    <w:link w:val="afff6"/>
    <w:uiPriority w:val="99"/>
    <w:semiHidden/>
    <w:unhideWhenUsed/>
    <w:rsid w:val="008E4653"/>
  </w:style>
  <w:style w:type="character" w:customStyle="1" w:styleId="afff8">
    <w:name w:val="Дата Знак"/>
    <w:basedOn w:val="a2"/>
    <w:link w:val="afff9"/>
    <w:uiPriority w:val="99"/>
    <w:semiHidden/>
    <w:rsid w:val="008E4653"/>
    <w:rPr>
      <w:sz w:val="24"/>
      <w:szCs w:val="24"/>
    </w:rPr>
  </w:style>
  <w:style w:type="paragraph" w:styleId="afff9">
    <w:name w:val="Date"/>
    <w:basedOn w:val="a1"/>
    <w:next w:val="a1"/>
    <w:link w:val="afff8"/>
    <w:uiPriority w:val="99"/>
    <w:semiHidden/>
    <w:unhideWhenUsed/>
    <w:rsid w:val="008E4653"/>
  </w:style>
  <w:style w:type="character" w:customStyle="1" w:styleId="afffa">
    <w:name w:val="Красная строка Знак"/>
    <w:basedOn w:val="afff0"/>
    <w:link w:val="afffb"/>
    <w:uiPriority w:val="99"/>
    <w:semiHidden/>
    <w:rsid w:val="008E4653"/>
    <w:rPr>
      <w:sz w:val="24"/>
      <w:szCs w:val="24"/>
    </w:rPr>
  </w:style>
  <w:style w:type="paragraph" w:styleId="afffb">
    <w:name w:val="Body Text First Indent"/>
    <w:basedOn w:val="afff1"/>
    <w:link w:val="afffa"/>
    <w:uiPriority w:val="99"/>
    <w:semiHidden/>
    <w:unhideWhenUsed/>
    <w:rsid w:val="008E4653"/>
    <w:pPr>
      <w:spacing w:after="0"/>
      <w:ind w:firstLine="360"/>
    </w:pPr>
  </w:style>
  <w:style w:type="character" w:customStyle="1" w:styleId="26">
    <w:name w:val="Красная строка 2 Знак"/>
    <w:basedOn w:val="afff2"/>
    <w:link w:val="27"/>
    <w:uiPriority w:val="99"/>
    <w:semiHidden/>
    <w:rsid w:val="008E4653"/>
    <w:rPr>
      <w:sz w:val="24"/>
      <w:szCs w:val="24"/>
    </w:rPr>
  </w:style>
  <w:style w:type="paragraph" w:styleId="27">
    <w:name w:val="Body Text First Indent 2"/>
    <w:basedOn w:val="afff3"/>
    <w:link w:val="26"/>
    <w:uiPriority w:val="99"/>
    <w:semiHidden/>
    <w:unhideWhenUsed/>
    <w:rsid w:val="008E4653"/>
    <w:pPr>
      <w:spacing w:after="0"/>
      <w:ind w:left="360" w:firstLine="360"/>
    </w:pPr>
  </w:style>
  <w:style w:type="character" w:customStyle="1" w:styleId="afffc">
    <w:name w:val="Заголовок записки Знак"/>
    <w:basedOn w:val="a2"/>
    <w:link w:val="afffd"/>
    <w:uiPriority w:val="99"/>
    <w:semiHidden/>
    <w:rsid w:val="008E4653"/>
    <w:rPr>
      <w:sz w:val="24"/>
      <w:szCs w:val="24"/>
    </w:rPr>
  </w:style>
  <w:style w:type="paragraph" w:styleId="afffd">
    <w:name w:val="Note Heading"/>
    <w:basedOn w:val="a1"/>
    <w:next w:val="a1"/>
    <w:link w:val="afffc"/>
    <w:uiPriority w:val="99"/>
    <w:semiHidden/>
    <w:unhideWhenUsed/>
    <w:rsid w:val="008E4653"/>
  </w:style>
  <w:style w:type="character" w:customStyle="1" w:styleId="28">
    <w:name w:val="Основной текст 2 Знак"/>
    <w:basedOn w:val="a2"/>
    <w:link w:val="29"/>
    <w:uiPriority w:val="99"/>
    <w:semiHidden/>
    <w:rsid w:val="008E4653"/>
    <w:rPr>
      <w:sz w:val="24"/>
      <w:szCs w:val="24"/>
    </w:rPr>
  </w:style>
  <w:style w:type="paragraph" w:styleId="29">
    <w:name w:val="Body Text 2"/>
    <w:basedOn w:val="a1"/>
    <w:link w:val="28"/>
    <w:uiPriority w:val="99"/>
    <w:semiHidden/>
    <w:unhideWhenUsed/>
    <w:rsid w:val="008E4653"/>
    <w:pPr>
      <w:spacing w:after="120" w:line="480" w:lineRule="auto"/>
    </w:pPr>
  </w:style>
  <w:style w:type="character" w:customStyle="1" w:styleId="34">
    <w:name w:val="Основной текст 3 Знак"/>
    <w:basedOn w:val="a2"/>
    <w:link w:val="35"/>
    <w:uiPriority w:val="99"/>
    <w:semiHidden/>
    <w:rsid w:val="008E4653"/>
    <w:rPr>
      <w:sz w:val="16"/>
      <w:szCs w:val="16"/>
    </w:rPr>
  </w:style>
  <w:style w:type="paragraph" w:styleId="35">
    <w:name w:val="Body Text 3"/>
    <w:basedOn w:val="a1"/>
    <w:link w:val="34"/>
    <w:uiPriority w:val="99"/>
    <w:semiHidden/>
    <w:unhideWhenUsed/>
    <w:rsid w:val="008E4653"/>
    <w:pPr>
      <w:spacing w:after="120"/>
    </w:pPr>
    <w:rPr>
      <w:sz w:val="16"/>
      <w:szCs w:val="16"/>
    </w:rPr>
  </w:style>
  <w:style w:type="character" w:customStyle="1" w:styleId="2a">
    <w:name w:val="Основной текст с отступом 2 Знак"/>
    <w:basedOn w:val="a2"/>
    <w:link w:val="2b"/>
    <w:uiPriority w:val="99"/>
    <w:semiHidden/>
    <w:rsid w:val="008E4653"/>
    <w:rPr>
      <w:sz w:val="24"/>
      <w:szCs w:val="24"/>
    </w:rPr>
  </w:style>
  <w:style w:type="paragraph" w:styleId="2b">
    <w:name w:val="Body Text Indent 2"/>
    <w:basedOn w:val="a1"/>
    <w:link w:val="2a"/>
    <w:uiPriority w:val="99"/>
    <w:semiHidden/>
    <w:unhideWhenUsed/>
    <w:rsid w:val="008E4653"/>
    <w:pPr>
      <w:spacing w:after="120" w:line="480" w:lineRule="auto"/>
      <w:ind w:left="283"/>
    </w:pPr>
  </w:style>
  <w:style w:type="character" w:customStyle="1" w:styleId="36">
    <w:name w:val="Основной текст с отступом 3 Знак"/>
    <w:basedOn w:val="a2"/>
    <w:link w:val="37"/>
    <w:uiPriority w:val="99"/>
    <w:semiHidden/>
    <w:rsid w:val="008E4653"/>
    <w:rPr>
      <w:sz w:val="16"/>
      <w:szCs w:val="16"/>
    </w:rPr>
  </w:style>
  <w:style w:type="paragraph" w:styleId="37">
    <w:name w:val="Body Text Indent 3"/>
    <w:basedOn w:val="a1"/>
    <w:link w:val="36"/>
    <w:uiPriority w:val="99"/>
    <w:semiHidden/>
    <w:unhideWhenUsed/>
    <w:rsid w:val="008E4653"/>
    <w:pPr>
      <w:spacing w:after="120"/>
      <w:ind w:left="283"/>
    </w:pPr>
    <w:rPr>
      <w:sz w:val="16"/>
      <w:szCs w:val="16"/>
    </w:rPr>
  </w:style>
  <w:style w:type="character" w:customStyle="1" w:styleId="afffe">
    <w:name w:val="Схема документа Знак"/>
    <w:basedOn w:val="a2"/>
    <w:link w:val="affff"/>
    <w:uiPriority w:val="99"/>
    <w:semiHidden/>
    <w:rsid w:val="008E4653"/>
    <w:rPr>
      <w:rFonts w:ascii="Segoe UI" w:hAnsi="Segoe UI" w:cs="Segoe UI"/>
      <w:sz w:val="16"/>
      <w:szCs w:val="16"/>
    </w:rPr>
  </w:style>
  <w:style w:type="paragraph" w:styleId="affff">
    <w:name w:val="Document Map"/>
    <w:basedOn w:val="a1"/>
    <w:link w:val="afffe"/>
    <w:uiPriority w:val="99"/>
    <w:semiHidden/>
    <w:unhideWhenUsed/>
    <w:rsid w:val="008E4653"/>
    <w:rPr>
      <w:rFonts w:ascii="Segoe UI" w:hAnsi="Segoe UI" w:cs="Segoe UI"/>
      <w:sz w:val="16"/>
      <w:szCs w:val="16"/>
    </w:rPr>
  </w:style>
  <w:style w:type="character" w:customStyle="1" w:styleId="affff0">
    <w:name w:val="Текст Знак"/>
    <w:basedOn w:val="a2"/>
    <w:link w:val="affff1"/>
    <w:uiPriority w:val="99"/>
    <w:semiHidden/>
    <w:rsid w:val="008E4653"/>
    <w:rPr>
      <w:rFonts w:ascii="Consolas" w:hAnsi="Consolas"/>
      <w:sz w:val="21"/>
      <w:szCs w:val="21"/>
    </w:rPr>
  </w:style>
  <w:style w:type="paragraph" w:styleId="affff1">
    <w:name w:val="Plain Text"/>
    <w:basedOn w:val="a1"/>
    <w:link w:val="affff0"/>
    <w:uiPriority w:val="99"/>
    <w:semiHidden/>
    <w:unhideWhenUsed/>
    <w:rsid w:val="008E4653"/>
    <w:rPr>
      <w:rFonts w:ascii="Consolas" w:hAnsi="Consolas"/>
      <w:sz w:val="21"/>
      <w:szCs w:val="21"/>
    </w:rPr>
  </w:style>
  <w:style w:type="character" w:customStyle="1" w:styleId="affff2">
    <w:name w:val="Электронная подпись Знак"/>
    <w:basedOn w:val="a2"/>
    <w:link w:val="affff3"/>
    <w:uiPriority w:val="99"/>
    <w:semiHidden/>
    <w:rsid w:val="008E4653"/>
    <w:rPr>
      <w:sz w:val="24"/>
      <w:szCs w:val="24"/>
    </w:rPr>
  </w:style>
  <w:style w:type="paragraph" w:styleId="affff3">
    <w:name w:val="E-mail Signature"/>
    <w:basedOn w:val="a1"/>
    <w:link w:val="affff2"/>
    <w:uiPriority w:val="99"/>
    <w:semiHidden/>
    <w:unhideWhenUsed/>
    <w:rsid w:val="008E4653"/>
  </w:style>
  <w:style w:type="paragraph" w:customStyle="1" w:styleId="xl64">
    <w:name w:val="xl64"/>
    <w:basedOn w:val="a1"/>
    <w:rsid w:val="00705CFC"/>
    <w:pPr>
      <w:pBdr>
        <w:left w:val="single" w:sz="4" w:space="0" w:color="5B9BD5"/>
        <w:right w:val="single" w:sz="4" w:space="0" w:color="5B9BD5"/>
      </w:pBdr>
      <w:shd w:val="clear" w:color="000000" w:fill="BDD7EE"/>
      <w:spacing w:before="100" w:beforeAutospacing="1" w:after="100" w:afterAutospacing="1"/>
      <w:textAlignment w:val="center"/>
    </w:pPr>
    <w:rPr>
      <w:rFonts w:ascii="Times New Roman" w:hAnsi="Times New Roman"/>
      <w:b/>
      <w:bCs/>
    </w:rPr>
  </w:style>
  <w:style w:type="paragraph" w:styleId="affff4">
    <w:name w:val="envelope address"/>
    <w:basedOn w:val="a1"/>
    <w:uiPriority w:val="99"/>
    <w:semiHidden/>
    <w:unhideWhenUsed/>
    <w:rsid w:val="00043E99"/>
    <w:pPr>
      <w:framePr w:w="7920" w:h="1980" w:hRule="exact" w:hSpace="180" w:wrap="auto" w:hAnchor="page" w:xAlign="center" w:yAlign="bottom"/>
      <w:ind w:left="2880"/>
    </w:pPr>
    <w:rPr>
      <w:rFonts w:asciiTheme="majorHAnsi" w:eastAsiaTheme="majorEastAsia" w:hAnsiTheme="majorHAnsi" w:cstheme="majorBidi"/>
    </w:rPr>
  </w:style>
  <w:style w:type="paragraph" w:styleId="affff5">
    <w:name w:val="toa heading"/>
    <w:basedOn w:val="a1"/>
    <w:next w:val="a1"/>
    <w:uiPriority w:val="99"/>
    <w:semiHidden/>
    <w:unhideWhenUsed/>
    <w:rsid w:val="00043E99"/>
    <w:pPr>
      <w:spacing w:before="120"/>
    </w:pPr>
    <w:rPr>
      <w:rFonts w:asciiTheme="majorHAnsi" w:eastAsiaTheme="majorEastAsia" w:hAnsiTheme="majorHAnsi" w:cstheme="majorBidi"/>
      <w:b/>
      <w:bCs/>
    </w:rPr>
  </w:style>
  <w:style w:type="paragraph" w:styleId="2c">
    <w:name w:val="envelope return"/>
    <w:basedOn w:val="a1"/>
    <w:uiPriority w:val="99"/>
    <w:semiHidden/>
    <w:unhideWhenUsed/>
    <w:rsid w:val="00043E99"/>
    <w:rPr>
      <w:rFonts w:asciiTheme="majorHAnsi" w:eastAsiaTheme="majorEastAsia" w:hAnsiTheme="majorHAnsi" w:cstheme="majorBidi"/>
      <w:sz w:val="20"/>
      <w:szCs w:val="20"/>
    </w:rPr>
  </w:style>
  <w:style w:type="paragraph" w:styleId="affff6">
    <w:name w:val="Normal Indent"/>
    <w:basedOn w:val="a1"/>
    <w:uiPriority w:val="99"/>
    <w:semiHidden/>
    <w:unhideWhenUsed/>
    <w:rsid w:val="00043E99"/>
    <w:pPr>
      <w:ind w:left="708"/>
    </w:pPr>
  </w:style>
  <w:style w:type="paragraph" w:styleId="43">
    <w:name w:val="toc 4"/>
    <w:basedOn w:val="a1"/>
    <w:next w:val="a1"/>
    <w:autoRedefine/>
    <w:uiPriority w:val="39"/>
    <w:semiHidden/>
    <w:unhideWhenUsed/>
    <w:rsid w:val="00043E99"/>
    <w:pPr>
      <w:spacing w:after="100"/>
      <w:ind w:left="720"/>
    </w:pPr>
  </w:style>
  <w:style w:type="paragraph" w:styleId="53">
    <w:name w:val="toc 5"/>
    <w:basedOn w:val="a1"/>
    <w:next w:val="a1"/>
    <w:autoRedefine/>
    <w:uiPriority w:val="39"/>
    <w:semiHidden/>
    <w:unhideWhenUsed/>
    <w:rsid w:val="00043E99"/>
    <w:pPr>
      <w:spacing w:after="100"/>
      <w:ind w:left="960"/>
    </w:pPr>
  </w:style>
  <w:style w:type="paragraph" w:styleId="61">
    <w:name w:val="toc 6"/>
    <w:basedOn w:val="a1"/>
    <w:next w:val="a1"/>
    <w:autoRedefine/>
    <w:uiPriority w:val="39"/>
    <w:semiHidden/>
    <w:unhideWhenUsed/>
    <w:rsid w:val="00043E99"/>
    <w:pPr>
      <w:spacing w:after="100"/>
      <w:ind w:left="1200"/>
    </w:pPr>
  </w:style>
  <w:style w:type="paragraph" w:styleId="71">
    <w:name w:val="toc 7"/>
    <w:basedOn w:val="a1"/>
    <w:next w:val="a1"/>
    <w:autoRedefine/>
    <w:uiPriority w:val="39"/>
    <w:semiHidden/>
    <w:unhideWhenUsed/>
    <w:rsid w:val="00043E99"/>
    <w:pPr>
      <w:spacing w:after="100"/>
      <w:ind w:left="1440"/>
    </w:pPr>
  </w:style>
  <w:style w:type="paragraph" w:styleId="81">
    <w:name w:val="toc 8"/>
    <w:basedOn w:val="a1"/>
    <w:next w:val="a1"/>
    <w:autoRedefine/>
    <w:uiPriority w:val="39"/>
    <w:semiHidden/>
    <w:unhideWhenUsed/>
    <w:rsid w:val="00043E99"/>
    <w:pPr>
      <w:spacing w:after="100"/>
      <w:ind w:left="1680"/>
    </w:pPr>
  </w:style>
  <w:style w:type="paragraph" w:styleId="91">
    <w:name w:val="toc 9"/>
    <w:basedOn w:val="a1"/>
    <w:next w:val="a1"/>
    <w:autoRedefine/>
    <w:uiPriority w:val="39"/>
    <w:semiHidden/>
    <w:unhideWhenUsed/>
    <w:rsid w:val="00043E99"/>
    <w:pPr>
      <w:spacing w:after="100"/>
      <w:ind w:left="1920"/>
    </w:pPr>
  </w:style>
  <w:style w:type="paragraph" w:styleId="affff7">
    <w:name w:val="table of figures"/>
    <w:basedOn w:val="a1"/>
    <w:next w:val="a1"/>
    <w:uiPriority w:val="99"/>
    <w:semiHidden/>
    <w:unhideWhenUsed/>
    <w:rsid w:val="00043E99"/>
  </w:style>
  <w:style w:type="paragraph" w:styleId="affff8">
    <w:name w:val="List Continue"/>
    <w:basedOn w:val="a1"/>
    <w:uiPriority w:val="99"/>
    <w:semiHidden/>
    <w:unhideWhenUsed/>
    <w:rsid w:val="00043E99"/>
    <w:pPr>
      <w:spacing w:after="120"/>
      <w:ind w:left="283"/>
      <w:contextualSpacing/>
    </w:pPr>
  </w:style>
  <w:style w:type="paragraph" w:styleId="2d">
    <w:name w:val="List Continue 2"/>
    <w:basedOn w:val="a1"/>
    <w:uiPriority w:val="99"/>
    <w:semiHidden/>
    <w:unhideWhenUsed/>
    <w:rsid w:val="00043E99"/>
    <w:pPr>
      <w:spacing w:after="120"/>
      <w:ind w:left="566"/>
      <w:contextualSpacing/>
    </w:pPr>
  </w:style>
  <w:style w:type="paragraph" w:styleId="38">
    <w:name w:val="List Continue 3"/>
    <w:basedOn w:val="a1"/>
    <w:uiPriority w:val="99"/>
    <w:semiHidden/>
    <w:unhideWhenUsed/>
    <w:rsid w:val="00043E99"/>
    <w:pPr>
      <w:spacing w:after="120"/>
      <w:ind w:left="849"/>
      <w:contextualSpacing/>
    </w:pPr>
  </w:style>
  <w:style w:type="paragraph" w:styleId="44">
    <w:name w:val="List Continue 4"/>
    <w:basedOn w:val="a1"/>
    <w:uiPriority w:val="99"/>
    <w:semiHidden/>
    <w:unhideWhenUsed/>
    <w:rsid w:val="00043E99"/>
    <w:pPr>
      <w:spacing w:after="120"/>
      <w:ind w:left="1132"/>
      <w:contextualSpacing/>
    </w:pPr>
  </w:style>
  <w:style w:type="paragraph" w:styleId="54">
    <w:name w:val="List Continue 5"/>
    <w:basedOn w:val="a1"/>
    <w:uiPriority w:val="99"/>
    <w:semiHidden/>
    <w:unhideWhenUsed/>
    <w:rsid w:val="00043E99"/>
    <w:pPr>
      <w:spacing w:after="120"/>
      <w:ind w:left="1415"/>
      <w:contextualSpacing/>
    </w:pPr>
  </w:style>
  <w:style w:type="paragraph" w:styleId="affff9">
    <w:name w:val="List"/>
    <w:basedOn w:val="a1"/>
    <w:uiPriority w:val="99"/>
    <w:semiHidden/>
    <w:unhideWhenUsed/>
    <w:rsid w:val="00043E99"/>
    <w:pPr>
      <w:ind w:left="283" w:hanging="283"/>
      <w:contextualSpacing/>
    </w:pPr>
  </w:style>
  <w:style w:type="paragraph" w:styleId="2e">
    <w:name w:val="List 2"/>
    <w:basedOn w:val="a1"/>
    <w:uiPriority w:val="99"/>
    <w:semiHidden/>
    <w:unhideWhenUsed/>
    <w:rsid w:val="00043E99"/>
    <w:pPr>
      <w:ind w:left="566" w:hanging="283"/>
      <w:contextualSpacing/>
    </w:pPr>
  </w:style>
  <w:style w:type="paragraph" w:styleId="39">
    <w:name w:val="List 3"/>
    <w:basedOn w:val="a1"/>
    <w:uiPriority w:val="99"/>
    <w:semiHidden/>
    <w:unhideWhenUsed/>
    <w:rsid w:val="00043E99"/>
    <w:pPr>
      <w:ind w:left="849" w:hanging="283"/>
      <w:contextualSpacing/>
    </w:pPr>
  </w:style>
  <w:style w:type="paragraph" w:styleId="45">
    <w:name w:val="List 4"/>
    <w:basedOn w:val="a1"/>
    <w:uiPriority w:val="99"/>
    <w:semiHidden/>
    <w:unhideWhenUsed/>
    <w:rsid w:val="00043E99"/>
    <w:pPr>
      <w:ind w:left="1132" w:hanging="283"/>
      <w:contextualSpacing/>
    </w:pPr>
  </w:style>
  <w:style w:type="paragraph" w:styleId="55">
    <w:name w:val="List 5"/>
    <w:basedOn w:val="a1"/>
    <w:uiPriority w:val="99"/>
    <w:semiHidden/>
    <w:unhideWhenUsed/>
    <w:rsid w:val="00043E99"/>
    <w:pPr>
      <w:ind w:left="1415" w:hanging="283"/>
      <w:contextualSpacing/>
    </w:pPr>
  </w:style>
  <w:style w:type="paragraph" w:styleId="affffa">
    <w:name w:val="Bibliography"/>
    <w:basedOn w:val="a1"/>
    <w:next w:val="a1"/>
    <w:uiPriority w:val="37"/>
    <w:semiHidden/>
    <w:unhideWhenUsed/>
    <w:rsid w:val="00043E99"/>
  </w:style>
  <w:style w:type="paragraph" w:styleId="affffb">
    <w:name w:val="table of authorities"/>
    <w:basedOn w:val="a1"/>
    <w:next w:val="a1"/>
    <w:uiPriority w:val="99"/>
    <w:semiHidden/>
    <w:unhideWhenUsed/>
    <w:rsid w:val="00043E99"/>
    <w:pPr>
      <w:ind w:left="240" w:hanging="240"/>
    </w:pPr>
  </w:style>
  <w:style w:type="paragraph" w:styleId="12">
    <w:name w:val="index 1"/>
    <w:basedOn w:val="a1"/>
    <w:next w:val="a1"/>
    <w:autoRedefine/>
    <w:uiPriority w:val="99"/>
    <w:semiHidden/>
    <w:unhideWhenUsed/>
    <w:rsid w:val="00043E99"/>
    <w:pPr>
      <w:ind w:left="240" w:hanging="240"/>
    </w:pPr>
  </w:style>
  <w:style w:type="paragraph" w:styleId="affffc">
    <w:name w:val="index heading"/>
    <w:basedOn w:val="a1"/>
    <w:next w:val="12"/>
    <w:uiPriority w:val="99"/>
    <w:semiHidden/>
    <w:unhideWhenUsed/>
    <w:rsid w:val="00043E99"/>
    <w:rPr>
      <w:rFonts w:asciiTheme="majorHAnsi" w:eastAsiaTheme="majorEastAsia" w:hAnsiTheme="majorHAnsi" w:cstheme="majorBidi"/>
      <w:b/>
      <w:bCs/>
    </w:rPr>
  </w:style>
  <w:style w:type="paragraph" w:styleId="2f">
    <w:name w:val="index 2"/>
    <w:basedOn w:val="a1"/>
    <w:next w:val="a1"/>
    <w:autoRedefine/>
    <w:uiPriority w:val="99"/>
    <w:semiHidden/>
    <w:unhideWhenUsed/>
    <w:rsid w:val="00043E99"/>
    <w:pPr>
      <w:ind w:left="480" w:hanging="240"/>
    </w:pPr>
  </w:style>
  <w:style w:type="paragraph" w:styleId="3a">
    <w:name w:val="index 3"/>
    <w:basedOn w:val="a1"/>
    <w:next w:val="a1"/>
    <w:autoRedefine/>
    <w:uiPriority w:val="99"/>
    <w:semiHidden/>
    <w:unhideWhenUsed/>
    <w:rsid w:val="00043E99"/>
    <w:pPr>
      <w:ind w:left="720" w:hanging="240"/>
    </w:pPr>
  </w:style>
  <w:style w:type="paragraph" w:styleId="46">
    <w:name w:val="index 4"/>
    <w:basedOn w:val="a1"/>
    <w:next w:val="a1"/>
    <w:autoRedefine/>
    <w:uiPriority w:val="99"/>
    <w:semiHidden/>
    <w:unhideWhenUsed/>
    <w:rsid w:val="00043E99"/>
    <w:pPr>
      <w:ind w:left="960" w:hanging="240"/>
    </w:pPr>
  </w:style>
  <w:style w:type="paragraph" w:styleId="56">
    <w:name w:val="index 5"/>
    <w:basedOn w:val="a1"/>
    <w:next w:val="a1"/>
    <w:autoRedefine/>
    <w:uiPriority w:val="99"/>
    <w:semiHidden/>
    <w:unhideWhenUsed/>
    <w:rsid w:val="00043E99"/>
    <w:pPr>
      <w:ind w:left="1200" w:hanging="240"/>
    </w:pPr>
  </w:style>
  <w:style w:type="paragraph" w:styleId="62">
    <w:name w:val="index 6"/>
    <w:basedOn w:val="a1"/>
    <w:next w:val="a1"/>
    <w:autoRedefine/>
    <w:uiPriority w:val="99"/>
    <w:semiHidden/>
    <w:unhideWhenUsed/>
    <w:rsid w:val="00043E99"/>
    <w:pPr>
      <w:ind w:left="1440" w:hanging="240"/>
    </w:pPr>
  </w:style>
  <w:style w:type="paragraph" w:styleId="72">
    <w:name w:val="index 7"/>
    <w:basedOn w:val="a1"/>
    <w:next w:val="a1"/>
    <w:autoRedefine/>
    <w:uiPriority w:val="99"/>
    <w:semiHidden/>
    <w:unhideWhenUsed/>
    <w:rsid w:val="00043E99"/>
    <w:pPr>
      <w:ind w:left="1680" w:hanging="240"/>
    </w:pPr>
  </w:style>
  <w:style w:type="paragraph" w:styleId="82">
    <w:name w:val="index 8"/>
    <w:basedOn w:val="a1"/>
    <w:next w:val="a1"/>
    <w:autoRedefine/>
    <w:uiPriority w:val="99"/>
    <w:semiHidden/>
    <w:unhideWhenUsed/>
    <w:rsid w:val="00043E99"/>
    <w:pPr>
      <w:ind w:left="1920" w:hanging="240"/>
    </w:pPr>
  </w:style>
  <w:style w:type="paragraph" w:styleId="92">
    <w:name w:val="index 9"/>
    <w:basedOn w:val="a1"/>
    <w:next w:val="a1"/>
    <w:autoRedefine/>
    <w:uiPriority w:val="99"/>
    <w:semiHidden/>
    <w:unhideWhenUsed/>
    <w:rsid w:val="00043E99"/>
    <w:pPr>
      <w:ind w:left="2160" w:hanging="240"/>
    </w:pPr>
  </w:style>
  <w:style w:type="paragraph" w:styleId="affffd">
    <w:name w:val="Block Text"/>
    <w:basedOn w:val="a1"/>
    <w:uiPriority w:val="99"/>
    <w:semiHidden/>
    <w:unhideWhenUsed/>
    <w:rsid w:val="00043E9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xl94">
    <w:name w:val="xl94"/>
    <w:basedOn w:val="a1"/>
    <w:rsid w:val="00043E99"/>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043E99"/>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043E99"/>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character" w:styleId="affffe">
    <w:name w:val="endnote reference"/>
    <w:basedOn w:val="a2"/>
    <w:uiPriority w:val="99"/>
    <w:semiHidden/>
    <w:unhideWhenUsed/>
    <w:rsid w:val="006D3614"/>
    <w:rPr>
      <w:vertAlign w:val="superscript"/>
    </w:rPr>
  </w:style>
  <w:style w:type="paragraph" w:customStyle="1" w:styleId="xl101">
    <w:name w:val="xl101"/>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EC0D55"/>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4">
    <w:name w:val="xl104"/>
    <w:basedOn w:val="a1"/>
    <w:rsid w:val="00EC0D55"/>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EC0D55"/>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6">
    <w:name w:val="xl106"/>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rPr>
  </w:style>
  <w:style w:type="paragraph" w:customStyle="1" w:styleId="xl107">
    <w:name w:val="xl107"/>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09">
    <w:name w:val="xl109"/>
    <w:basedOn w:val="a1"/>
    <w:rsid w:val="00462847"/>
    <w:pPr>
      <w:pBdr>
        <w:top w:val="single" w:sz="4" w:space="0" w:color="5B9BD5"/>
        <w:left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462847"/>
    <w:pPr>
      <w:pBdr>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1">
    <w:name w:val="xl111"/>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12">
    <w:name w:val="xl112"/>
    <w:basedOn w:val="a1"/>
    <w:rsid w:val="00462847"/>
    <w:pPr>
      <w:pBdr>
        <w:top w:val="single" w:sz="4" w:space="0" w:color="5B9BD5"/>
        <w:left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3">
    <w:name w:val="xl113"/>
    <w:basedOn w:val="a1"/>
    <w:rsid w:val="00462847"/>
    <w:pPr>
      <w:pBdr>
        <w:top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462847"/>
    <w:pPr>
      <w:pBdr>
        <w:top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39328967">
      <w:bodyDiv w:val="1"/>
      <w:marLeft w:val="0"/>
      <w:marRight w:val="0"/>
      <w:marTop w:val="0"/>
      <w:marBottom w:val="0"/>
      <w:divBdr>
        <w:top w:val="none" w:sz="0" w:space="0" w:color="auto"/>
        <w:left w:val="none" w:sz="0" w:space="0" w:color="auto"/>
        <w:bottom w:val="none" w:sz="0" w:space="0" w:color="auto"/>
        <w:right w:val="none" w:sz="0" w:space="0" w:color="auto"/>
      </w:divBdr>
    </w:div>
    <w:div w:id="56437153">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1442463">
      <w:bodyDiv w:val="1"/>
      <w:marLeft w:val="0"/>
      <w:marRight w:val="0"/>
      <w:marTop w:val="0"/>
      <w:marBottom w:val="0"/>
      <w:divBdr>
        <w:top w:val="none" w:sz="0" w:space="0" w:color="auto"/>
        <w:left w:val="none" w:sz="0" w:space="0" w:color="auto"/>
        <w:bottom w:val="none" w:sz="0" w:space="0" w:color="auto"/>
        <w:right w:val="none" w:sz="0" w:space="0" w:color="auto"/>
      </w:divBdr>
    </w:div>
    <w:div w:id="111633920">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56384237">
      <w:bodyDiv w:val="1"/>
      <w:marLeft w:val="0"/>
      <w:marRight w:val="0"/>
      <w:marTop w:val="0"/>
      <w:marBottom w:val="0"/>
      <w:divBdr>
        <w:top w:val="none" w:sz="0" w:space="0" w:color="auto"/>
        <w:left w:val="none" w:sz="0" w:space="0" w:color="auto"/>
        <w:bottom w:val="none" w:sz="0" w:space="0" w:color="auto"/>
        <w:right w:val="none" w:sz="0" w:space="0" w:color="auto"/>
      </w:divBdr>
    </w:div>
    <w:div w:id="165562265">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3427062">
      <w:bodyDiv w:val="1"/>
      <w:marLeft w:val="0"/>
      <w:marRight w:val="0"/>
      <w:marTop w:val="0"/>
      <w:marBottom w:val="0"/>
      <w:divBdr>
        <w:top w:val="none" w:sz="0" w:space="0" w:color="auto"/>
        <w:left w:val="none" w:sz="0" w:space="0" w:color="auto"/>
        <w:bottom w:val="none" w:sz="0" w:space="0" w:color="auto"/>
        <w:right w:val="none" w:sz="0" w:space="0" w:color="auto"/>
      </w:divBdr>
    </w:div>
    <w:div w:id="194275826">
      <w:bodyDiv w:val="1"/>
      <w:marLeft w:val="0"/>
      <w:marRight w:val="0"/>
      <w:marTop w:val="0"/>
      <w:marBottom w:val="0"/>
      <w:divBdr>
        <w:top w:val="none" w:sz="0" w:space="0" w:color="auto"/>
        <w:left w:val="none" w:sz="0" w:space="0" w:color="auto"/>
        <w:bottom w:val="none" w:sz="0" w:space="0" w:color="auto"/>
        <w:right w:val="none" w:sz="0" w:space="0" w:color="auto"/>
      </w:divBdr>
    </w:div>
    <w:div w:id="205070745">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49315444">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0112035">
      <w:bodyDiv w:val="1"/>
      <w:marLeft w:val="0"/>
      <w:marRight w:val="0"/>
      <w:marTop w:val="0"/>
      <w:marBottom w:val="0"/>
      <w:divBdr>
        <w:top w:val="none" w:sz="0" w:space="0" w:color="auto"/>
        <w:left w:val="none" w:sz="0" w:space="0" w:color="auto"/>
        <w:bottom w:val="none" w:sz="0" w:space="0" w:color="auto"/>
        <w:right w:val="none" w:sz="0" w:space="0" w:color="auto"/>
      </w:divBdr>
    </w:div>
    <w:div w:id="281805737">
      <w:bodyDiv w:val="1"/>
      <w:marLeft w:val="0"/>
      <w:marRight w:val="0"/>
      <w:marTop w:val="0"/>
      <w:marBottom w:val="0"/>
      <w:divBdr>
        <w:top w:val="none" w:sz="0" w:space="0" w:color="auto"/>
        <w:left w:val="none" w:sz="0" w:space="0" w:color="auto"/>
        <w:bottom w:val="none" w:sz="0" w:space="0" w:color="auto"/>
        <w:right w:val="none" w:sz="0" w:space="0" w:color="auto"/>
      </w:divBdr>
    </w:div>
    <w:div w:id="294021763">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08678419">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1271415">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32474682">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71674014">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601111065">
      <w:bodyDiv w:val="1"/>
      <w:marLeft w:val="0"/>
      <w:marRight w:val="0"/>
      <w:marTop w:val="0"/>
      <w:marBottom w:val="0"/>
      <w:divBdr>
        <w:top w:val="none" w:sz="0" w:space="0" w:color="auto"/>
        <w:left w:val="none" w:sz="0" w:space="0" w:color="auto"/>
        <w:bottom w:val="none" w:sz="0" w:space="0" w:color="auto"/>
        <w:right w:val="none" w:sz="0" w:space="0" w:color="auto"/>
      </w:divBdr>
    </w:div>
    <w:div w:id="610288332">
      <w:bodyDiv w:val="1"/>
      <w:marLeft w:val="0"/>
      <w:marRight w:val="0"/>
      <w:marTop w:val="0"/>
      <w:marBottom w:val="0"/>
      <w:divBdr>
        <w:top w:val="none" w:sz="0" w:space="0" w:color="auto"/>
        <w:left w:val="none" w:sz="0" w:space="0" w:color="auto"/>
        <w:bottom w:val="none" w:sz="0" w:space="0" w:color="auto"/>
        <w:right w:val="none" w:sz="0" w:space="0" w:color="auto"/>
      </w:divBdr>
    </w:div>
    <w:div w:id="627707618">
      <w:bodyDiv w:val="1"/>
      <w:marLeft w:val="0"/>
      <w:marRight w:val="0"/>
      <w:marTop w:val="0"/>
      <w:marBottom w:val="0"/>
      <w:divBdr>
        <w:top w:val="none" w:sz="0" w:space="0" w:color="auto"/>
        <w:left w:val="none" w:sz="0" w:space="0" w:color="auto"/>
        <w:bottom w:val="none" w:sz="0" w:space="0" w:color="auto"/>
        <w:right w:val="none" w:sz="0" w:space="0" w:color="auto"/>
      </w:divBdr>
    </w:div>
    <w:div w:id="652761127">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69144161">
      <w:bodyDiv w:val="1"/>
      <w:marLeft w:val="0"/>
      <w:marRight w:val="0"/>
      <w:marTop w:val="0"/>
      <w:marBottom w:val="0"/>
      <w:divBdr>
        <w:top w:val="none" w:sz="0" w:space="0" w:color="auto"/>
        <w:left w:val="none" w:sz="0" w:space="0" w:color="auto"/>
        <w:bottom w:val="none" w:sz="0" w:space="0" w:color="auto"/>
        <w:right w:val="none" w:sz="0" w:space="0" w:color="auto"/>
      </w:divBdr>
    </w:div>
    <w:div w:id="678238249">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6419214">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10307952">
      <w:bodyDiv w:val="1"/>
      <w:marLeft w:val="0"/>
      <w:marRight w:val="0"/>
      <w:marTop w:val="0"/>
      <w:marBottom w:val="0"/>
      <w:divBdr>
        <w:top w:val="none" w:sz="0" w:space="0" w:color="auto"/>
        <w:left w:val="none" w:sz="0" w:space="0" w:color="auto"/>
        <w:bottom w:val="none" w:sz="0" w:space="0" w:color="auto"/>
        <w:right w:val="none" w:sz="0" w:space="0" w:color="auto"/>
      </w:divBdr>
    </w:div>
    <w:div w:id="717363390">
      <w:bodyDiv w:val="1"/>
      <w:marLeft w:val="0"/>
      <w:marRight w:val="0"/>
      <w:marTop w:val="0"/>
      <w:marBottom w:val="0"/>
      <w:divBdr>
        <w:top w:val="none" w:sz="0" w:space="0" w:color="auto"/>
        <w:left w:val="none" w:sz="0" w:space="0" w:color="auto"/>
        <w:bottom w:val="none" w:sz="0" w:space="0" w:color="auto"/>
        <w:right w:val="none" w:sz="0" w:space="0" w:color="auto"/>
      </w:divBdr>
    </w:div>
    <w:div w:id="718555188">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40327081">
      <w:bodyDiv w:val="1"/>
      <w:marLeft w:val="0"/>
      <w:marRight w:val="0"/>
      <w:marTop w:val="0"/>
      <w:marBottom w:val="0"/>
      <w:divBdr>
        <w:top w:val="none" w:sz="0" w:space="0" w:color="auto"/>
        <w:left w:val="none" w:sz="0" w:space="0" w:color="auto"/>
        <w:bottom w:val="none" w:sz="0" w:space="0" w:color="auto"/>
        <w:right w:val="none" w:sz="0" w:space="0" w:color="auto"/>
      </w:divBdr>
    </w:div>
    <w:div w:id="741562415">
      <w:bodyDiv w:val="1"/>
      <w:marLeft w:val="0"/>
      <w:marRight w:val="0"/>
      <w:marTop w:val="0"/>
      <w:marBottom w:val="0"/>
      <w:divBdr>
        <w:top w:val="none" w:sz="0" w:space="0" w:color="auto"/>
        <w:left w:val="none" w:sz="0" w:space="0" w:color="auto"/>
        <w:bottom w:val="none" w:sz="0" w:space="0" w:color="auto"/>
        <w:right w:val="none" w:sz="0" w:space="0" w:color="auto"/>
      </w:divBdr>
    </w:div>
    <w:div w:id="746996209">
      <w:bodyDiv w:val="1"/>
      <w:marLeft w:val="0"/>
      <w:marRight w:val="0"/>
      <w:marTop w:val="0"/>
      <w:marBottom w:val="0"/>
      <w:divBdr>
        <w:top w:val="none" w:sz="0" w:space="0" w:color="auto"/>
        <w:left w:val="none" w:sz="0" w:space="0" w:color="auto"/>
        <w:bottom w:val="none" w:sz="0" w:space="0" w:color="auto"/>
        <w:right w:val="none" w:sz="0" w:space="0" w:color="auto"/>
      </w:divBdr>
    </w:div>
    <w:div w:id="764805643">
      <w:bodyDiv w:val="1"/>
      <w:marLeft w:val="0"/>
      <w:marRight w:val="0"/>
      <w:marTop w:val="0"/>
      <w:marBottom w:val="0"/>
      <w:divBdr>
        <w:top w:val="none" w:sz="0" w:space="0" w:color="auto"/>
        <w:left w:val="none" w:sz="0" w:space="0" w:color="auto"/>
        <w:bottom w:val="none" w:sz="0" w:space="0" w:color="auto"/>
        <w:right w:val="none" w:sz="0" w:space="0" w:color="auto"/>
      </w:divBdr>
    </w:div>
    <w:div w:id="775175459">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51140419">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87912353">
      <w:bodyDiv w:val="1"/>
      <w:marLeft w:val="0"/>
      <w:marRight w:val="0"/>
      <w:marTop w:val="0"/>
      <w:marBottom w:val="0"/>
      <w:divBdr>
        <w:top w:val="none" w:sz="0" w:space="0" w:color="auto"/>
        <w:left w:val="none" w:sz="0" w:space="0" w:color="auto"/>
        <w:bottom w:val="none" w:sz="0" w:space="0" w:color="auto"/>
        <w:right w:val="none" w:sz="0" w:space="0" w:color="auto"/>
      </w:divBdr>
    </w:div>
    <w:div w:id="909541255">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41499190">
      <w:bodyDiv w:val="1"/>
      <w:marLeft w:val="0"/>
      <w:marRight w:val="0"/>
      <w:marTop w:val="0"/>
      <w:marBottom w:val="0"/>
      <w:divBdr>
        <w:top w:val="none" w:sz="0" w:space="0" w:color="auto"/>
        <w:left w:val="none" w:sz="0" w:space="0" w:color="auto"/>
        <w:bottom w:val="none" w:sz="0" w:space="0" w:color="auto"/>
        <w:right w:val="none" w:sz="0" w:space="0" w:color="auto"/>
      </w:divBdr>
    </w:div>
    <w:div w:id="950358445">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5140792">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08748388">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935257">
      <w:bodyDiv w:val="1"/>
      <w:marLeft w:val="0"/>
      <w:marRight w:val="0"/>
      <w:marTop w:val="0"/>
      <w:marBottom w:val="0"/>
      <w:divBdr>
        <w:top w:val="none" w:sz="0" w:space="0" w:color="auto"/>
        <w:left w:val="none" w:sz="0" w:space="0" w:color="auto"/>
        <w:bottom w:val="none" w:sz="0" w:space="0" w:color="auto"/>
        <w:right w:val="none" w:sz="0" w:space="0" w:color="auto"/>
      </w:divBdr>
    </w:div>
    <w:div w:id="1034771369">
      <w:bodyDiv w:val="1"/>
      <w:marLeft w:val="0"/>
      <w:marRight w:val="0"/>
      <w:marTop w:val="0"/>
      <w:marBottom w:val="0"/>
      <w:divBdr>
        <w:top w:val="none" w:sz="0" w:space="0" w:color="auto"/>
        <w:left w:val="none" w:sz="0" w:space="0" w:color="auto"/>
        <w:bottom w:val="none" w:sz="0" w:space="0" w:color="auto"/>
        <w:right w:val="none" w:sz="0" w:space="0" w:color="auto"/>
      </w:divBdr>
    </w:div>
    <w:div w:id="1046685016">
      <w:bodyDiv w:val="1"/>
      <w:marLeft w:val="0"/>
      <w:marRight w:val="0"/>
      <w:marTop w:val="0"/>
      <w:marBottom w:val="0"/>
      <w:divBdr>
        <w:top w:val="none" w:sz="0" w:space="0" w:color="auto"/>
        <w:left w:val="none" w:sz="0" w:space="0" w:color="auto"/>
        <w:bottom w:val="none" w:sz="0" w:space="0" w:color="auto"/>
        <w:right w:val="none" w:sz="0" w:space="0" w:color="auto"/>
      </w:divBdr>
    </w:div>
    <w:div w:id="1051340263">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8551169">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45273766">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10339709">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6280174">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68817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294209603">
      <w:bodyDiv w:val="1"/>
      <w:marLeft w:val="0"/>
      <w:marRight w:val="0"/>
      <w:marTop w:val="0"/>
      <w:marBottom w:val="0"/>
      <w:divBdr>
        <w:top w:val="none" w:sz="0" w:space="0" w:color="auto"/>
        <w:left w:val="none" w:sz="0" w:space="0" w:color="auto"/>
        <w:bottom w:val="none" w:sz="0" w:space="0" w:color="auto"/>
        <w:right w:val="none" w:sz="0" w:space="0" w:color="auto"/>
      </w:divBdr>
    </w:div>
    <w:div w:id="1297027530">
      <w:bodyDiv w:val="1"/>
      <w:marLeft w:val="0"/>
      <w:marRight w:val="0"/>
      <w:marTop w:val="0"/>
      <w:marBottom w:val="0"/>
      <w:divBdr>
        <w:top w:val="none" w:sz="0" w:space="0" w:color="auto"/>
        <w:left w:val="none" w:sz="0" w:space="0" w:color="auto"/>
        <w:bottom w:val="none" w:sz="0" w:space="0" w:color="auto"/>
        <w:right w:val="none" w:sz="0" w:space="0" w:color="auto"/>
      </w:divBdr>
    </w:div>
    <w:div w:id="1300645612">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08974970">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0252618">
      <w:bodyDiv w:val="1"/>
      <w:marLeft w:val="0"/>
      <w:marRight w:val="0"/>
      <w:marTop w:val="0"/>
      <w:marBottom w:val="0"/>
      <w:divBdr>
        <w:top w:val="none" w:sz="0" w:space="0" w:color="auto"/>
        <w:left w:val="none" w:sz="0" w:space="0" w:color="auto"/>
        <w:bottom w:val="none" w:sz="0" w:space="0" w:color="auto"/>
        <w:right w:val="none" w:sz="0" w:space="0" w:color="auto"/>
      </w:divBdr>
    </w:div>
    <w:div w:id="1362824332">
      <w:bodyDiv w:val="1"/>
      <w:marLeft w:val="0"/>
      <w:marRight w:val="0"/>
      <w:marTop w:val="0"/>
      <w:marBottom w:val="0"/>
      <w:divBdr>
        <w:top w:val="none" w:sz="0" w:space="0" w:color="auto"/>
        <w:left w:val="none" w:sz="0" w:space="0" w:color="auto"/>
        <w:bottom w:val="none" w:sz="0" w:space="0" w:color="auto"/>
        <w:right w:val="none" w:sz="0" w:space="0" w:color="auto"/>
      </w:divBdr>
    </w:div>
    <w:div w:id="1379278481">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5496563">
      <w:bodyDiv w:val="1"/>
      <w:marLeft w:val="0"/>
      <w:marRight w:val="0"/>
      <w:marTop w:val="0"/>
      <w:marBottom w:val="0"/>
      <w:divBdr>
        <w:top w:val="none" w:sz="0" w:space="0" w:color="auto"/>
        <w:left w:val="none" w:sz="0" w:space="0" w:color="auto"/>
        <w:bottom w:val="none" w:sz="0" w:space="0" w:color="auto"/>
        <w:right w:val="none" w:sz="0" w:space="0" w:color="auto"/>
      </w:divBdr>
    </w:div>
    <w:div w:id="1431241601">
      <w:bodyDiv w:val="1"/>
      <w:marLeft w:val="0"/>
      <w:marRight w:val="0"/>
      <w:marTop w:val="0"/>
      <w:marBottom w:val="0"/>
      <w:divBdr>
        <w:top w:val="none" w:sz="0" w:space="0" w:color="auto"/>
        <w:left w:val="none" w:sz="0" w:space="0" w:color="auto"/>
        <w:bottom w:val="none" w:sz="0" w:space="0" w:color="auto"/>
        <w:right w:val="none" w:sz="0" w:space="0" w:color="auto"/>
      </w:divBdr>
    </w:div>
    <w:div w:id="1448238634">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86357444">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170907">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76628442">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4097533">
      <w:bodyDiv w:val="1"/>
      <w:marLeft w:val="0"/>
      <w:marRight w:val="0"/>
      <w:marTop w:val="0"/>
      <w:marBottom w:val="0"/>
      <w:divBdr>
        <w:top w:val="none" w:sz="0" w:space="0" w:color="auto"/>
        <w:left w:val="none" w:sz="0" w:space="0" w:color="auto"/>
        <w:bottom w:val="none" w:sz="0" w:space="0" w:color="auto"/>
        <w:right w:val="none" w:sz="0" w:space="0" w:color="auto"/>
      </w:divBdr>
    </w:div>
    <w:div w:id="1631740443">
      <w:bodyDiv w:val="1"/>
      <w:marLeft w:val="0"/>
      <w:marRight w:val="0"/>
      <w:marTop w:val="0"/>
      <w:marBottom w:val="0"/>
      <w:divBdr>
        <w:top w:val="none" w:sz="0" w:space="0" w:color="auto"/>
        <w:left w:val="none" w:sz="0" w:space="0" w:color="auto"/>
        <w:bottom w:val="none" w:sz="0" w:space="0" w:color="auto"/>
        <w:right w:val="none" w:sz="0" w:space="0" w:color="auto"/>
      </w:divBdr>
    </w:div>
    <w:div w:id="1643000144">
      <w:bodyDiv w:val="1"/>
      <w:marLeft w:val="0"/>
      <w:marRight w:val="0"/>
      <w:marTop w:val="0"/>
      <w:marBottom w:val="0"/>
      <w:divBdr>
        <w:top w:val="none" w:sz="0" w:space="0" w:color="auto"/>
        <w:left w:val="none" w:sz="0" w:space="0" w:color="auto"/>
        <w:bottom w:val="none" w:sz="0" w:space="0" w:color="auto"/>
        <w:right w:val="none" w:sz="0" w:space="0" w:color="auto"/>
      </w:divBdr>
    </w:div>
    <w:div w:id="1653024548">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0869345">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694726385">
      <w:bodyDiv w:val="1"/>
      <w:marLeft w:val="0"/>
      <w:marRight w:val="0"/>
      <w:marTop w:val="0"/>
      <w:marBottom w:val="0"/>
      <w:divBdr>
        <w:top w:val="none" w:sz="0" w:space="0" w:color="auto"/>
        <w:left w:val="none" w:sz="0" w:space="0" w:color="auto"/>
        <w:bottom w:val="none" w:sz="0" w:space="0" w:color="auto"/>
        <w:right w:val="none" w:sz="0" w:space="0" w:color="auto"/>
      </w:divBdr>
    </w:div>
    <w:div w:id="1699618119">
      <w:bodyDiv w:val="1"/>
      <w:marLeft w:val="0"/>
      <w:marRight w:val="0"/>
      <w:marTop w:val="0"/>
      <w:marBottom w:val="0"/>
      <w:divBdr>
        <w:top w:val="none" w:sz="0" w:space="0" w:color="auto"/>
        <w:left w:val="none" w:sz="0" w:space="0" w:color="auto"/>
        <w:bottom w:val="none" w:sz="0" w:space="0" w:color="auto"/>
        <w:right w:val="none" w:sz="0" w:space="0" w:color="auto"/>
      </w:divBdr>
    </w:div>
    <w:div w:id="1710757918">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6662827">
      <w:bodyDiv w:val="1"/>
      <w:marLeft w:val="0"/>
      <w:marRight w:val="0"/>
      <w:marTop w:val="0"/>
      <w:marBottom w:val="0"/>
      <w:divBdr>
        <w:top w:val="none" w:sz="0" w:space="0" w:color="auto"/>
        <w:left w:val="none" w:sz="0" w:space="0" w:color="auto"/>
        <w:bottom w:val="none" w:sz="0" w:space="0" w:color="auto"/>
        <w:right w:val="none" w:sz="0" w:space="0" w:color="auto"/>
      </w:divBdr>
    </w:div>
    <w:div w:id="1736465885">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42361380">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75662389">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797790213">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14366861">
      <w:bodyDiv w:val="1"/>
      <w:marLeft w:val="0"/>
      <w:marRight w:val="0"/>
      <w:marTop w:val="0"/>
      <w:marBottom w:val="0"/>
      <w:divBdr>
        <w:top w:val="none" w:sz="0" w:space="0" w:color="auto"/>
        <w:left w:val="none" w:sz="0" w:space="0" w:color="auto"/>
        <w:bottom w:val="none" w:sz="0" w:space="0" w:color="auto"/>
        <w:right w:val="none" w:sz="0" w:space="0" w:color="auto"/>
      </w:divBdr>
    </w:div>
    <w:div w:id="1827698303">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908570102">
      <w:bodyDiv w:val="1"/>
      <w:marLeft w:val="0"/>
      <w:marRight w:val="0"/>
      <w:marTop w:val="0"/>
      <w:marBottom w:val="0"/>
      <w:divBdr>
        <w:top w:val="none" w:sz="0" w:space="0" w:color="auto"/>
        <w:left w:val="none" w:sz="0" w:space="0" w:color="auto"/>
        <w:bottom w:val="none" w:sz="0" w:space="0" w:color="auto"/>
        <w:right w:val="none" w:sz="0" w:space="0" w:color="auto"/>
      </w:divBdr>
    </w:div>
    <w:div w:id="1963420083">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bu.uz/" TargetMode="External"/><Relationship Id="rId18" Type="http://schemas.openxmlformats.org/officeDocument/2006/relationships/hyperlink" Target="mailto:val@cbu.uz"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footer" Target="footer4.xml"/><Relationship Id="rId50" Type="http://schemas.openxmlformats.org/officeDocument/2006/relationships/footer" Target="footer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mirzaahmedov@cbu.uz" TargetMode="External"/><Relationship Id="rId29" Type="http://schemas.openxmlformats.org/officeDocument/2006/relationships/chart" Target="charts/chart10.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footer" Target="footer10.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ata.imf.org/"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footer" Target="footer5.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z.irgashev@cbu.uz"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fayzullaxodjaev@cbu.uz"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88;&#1072;&#1079;&#1073;&#1080;&#1074;&#1082;&#1072;%20&#1086;&#1073;&#1103;&#1079;&#1072;&#1090;&#1077;&#1083;&#1100;&#1089;&#1090;&#1074;%20(rus,%20eng,%20uzb).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84;&#1080;&#1087;%20(ru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Fixing%20Price%20Gold.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19%20&#1075;&#1086;&#1076;&#1072;\&#1076;&#1083;&#1103;%20&#1087;&#1091;&#1073;&#1083;&#1080;&#1082;&#1072;&#1094;&#1080;&#1080;%201%20&#1082;&#1074;%202019\&#1092;&#1080;&#1085;&#1072;&#1085;&#1089;&#1086;&#1074;&#1099;&#1081;%20&#1089;&#1095;&#1105;&#1090;\&#1052;&#1048;&#1055;\&#1084;&#1080;&#1087;1%20eng.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1044;&#1080;&#1072;&#1075;&#1088;&#1072;&#1084;&#1084;&#1099;%20RU,%20EN,%20UZ%20(01.07.2021).xlsx" TargetMode="External"/><Relationship Id="rId1" Type="http://schemas.openxmlformats.org/officeDocument/2006/relationships/themeOverride" Target="../theme/themeOverride4.xml"/></Relationships>
</file>

<file path=word/charts/_rels/chart2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1044;&#1080;&#1072;&#1075;&#1088;&#1072;&#1084;&#1084;&#1099;%20RU,%20EN,%20UZ%20(01.07.202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1044;&#1080;&#1072;&#1075;&#1088;&#1072;&#1084;&#1084;&#1099;%20RU,%20EN,%20UZ%20(01.07.202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1044;&#1080;&#1072;&#1075;&#1088;&#1072;&#1084;&#1084;&#1099;%20RU,%20EN,%20UZ%20(01.07.2021).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BOP-BPM6-UZ6-2Q_2021.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38707185759915E-2"/>
          <c:y val="3.7292112033267481E-2"/>
          <c:w val="0.91226217513440411"/>
          <c:h val="0.75081214452150813"/>
        </c:manualLayout>
      </c:layout>
      <c:barChart>
        <c:barDir val="col"/>
        <c:grouping val="stacked"/>
        <c:varyColors val="0"/>
        <c:ser>
          <c:idx val="0"/>
          <c:order val="0"/>
          <c:tx>
            <c:strRef>
              <c:f>'Салдо Тек. сч 1д (UZ)'!$E$37</c:f>
              <c:strCache>
                <c:ptCount val="1"/>
                <c:pt idx="0">
                  <c:v>Goods</c:v>
                </c:pt>
              </c:strCache>
            </c:strRef>
          </c:tx>
          <c:spPr>
            <a:solidFill>
              <a:schemeClr val="bg1">
                <a:lumMod val="65000"/>
              </a:schemeClr>
            </a:solidFill>
            <a:ln>
              <a:noFill/>
            </a:ln>
            <a:effectLst/>
          </c:spPr>
          <c:invertIfNegative val="0"/>
          <c:cat>
            <c:multiLvlStrRef>
              <c:f>'Салдо Тек. сч 1д (UZ)'!$B$42:$C$51</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'Салдо Тек. сч 1д (UZ)'!$E$42:$E$51</c:f>
              <c:numCache>
                <c:formatCode>_-* #,##0.0_р_._-;\-* #,##0.0_р_._-;_-* "-"??_р_._-;_-@_-</c:formatCode>
                <c:ptCount val="10"/>
                <c:pt idx="0">
                  <c:v>-1696.7435849152748</c:v>
                </c:pt>
                <c:pt idx="1">
                  <c:v>-1877.5568837872925</c:v>
                </c:pt>
                <c:pt idx="2">
                  <c:v>-1382.0424384141907</c:v>
                </c:pt>
                <c:pt idx="3">
                  <c:v>-2334.9823933131884</c:v>
                </c:pt>
                <c:pt idx="4">
                  <c:v>-1682.0689011955792</c:v>
                </c:pt>
                <c:pt idx="5">
                  <c:v>-1710.8777963896</c:v>
                </c:pt>
                <c:pt idx="6">
                  <c:v>617.87143068978457</c:v>
                </c:pt>
                <c:pt idx="7">
                  <c:v>-3441.0731766499066</c:v>
                </c:pt>
                <c:pt idx="8">
                  <c:v>-2788.0564314739072</c:v>
                </c:pt>
                <c:pt idx="9">
                  <c:v>-1935.2733063595174</c:v>
                </c:pt>
              </c:numCache>
            </c:numRef>
          </c:val>
          <c:extLst>
            <c:ext xmlns:c16="http://schemas.microsoft.com/office/drawing/2014/chart" uri="{C3380CC4-5D6E-409C-BE32-E72D297353CC}">
              <c16:uniqueId val="{00000000-7014-49F1-AF02-AD913637E3F0}"/>
            </c:ext>
          </c:extLst>
        </c:ser>
        <c:ser>
          <c:idx val="1"/>
          <c:order val="1"/>
          <c:tx>
            <c:strRef>
              <c:f>'Салдо Тек. сч 1д (UZ)'!$F$37</c:f>
              <c:strCache>
                <c:ptCount val="1"/>
                <c:pt idx="0">
                  <c:v>Primary income</c:v>
                </c:pt>
              </c:strCache>
            </c:strRef>
          </c:tx>
          <c:spPr>
            <a:solidFill>
              <a:schemeClr val="accent2"/>
            </a:solidFill>
            <a:ln>
              <a:noFill/>
            </a:ln>
            <a:effectLst/>
          </c:spPr>
          <c:invertIfNegative val="0"/>
          <c:cat>
            <c:multiLvlStrRef>
              <c:f>'Салдо Тек. сч 1д (UZ)'!$B$42:$C$51</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'Салдо Тек. сч 1д (UZ)'!$F$42:$F$51</c:f>
              <c:numCache>
                <c:formatCode>_-* #,##0.0_р_._-;\-* #,##0.0_р_._-;_-* "-"??_р_._-;_-@_-</c:formatCode>
                <c:ptCount val="10"/>
                <c:pt idx="0">
                  <c:v>341.88763522539602</c:v>
                </c:pt>
                <c:pt idx="1">
                  <c:v>387.85819495960743</c:v>
                </c:pt>
                <c:pt idx="2">
                  <c:v>260.49597233949351</c:v>
                </c:pt>
                <c:pt idx="3">
                  <c:v>-253.04459586417784</c:v>
                </c:pt>
                <c:pt idx="4">
                  <c:v>241.59644946441881</c:v>
                </c:pt>
                <c:pt idx="5">
                  <c:v>-65.876270052857649</c:v>
                </c:pt>
                <c:pt idx="6">
                  <c:v>-66.650594326864905</c:v>
                </c:pt>
                <c:pt idx="7">
                  <c:v>-299.80313580362525</c:v>
                </c:pt>
                <c:pt idx="8">
                  <c:v>-38.045453234075183</c:v>
                </c:pt>
                <c:pt idx="9">
                  <c:v>109.43564593430824</c:v>
                </c:pt>
              </c:numCache>
            </c:numRef>
          </c:val>
          <c:extLst>
            <c:ext xmlns:c16="http://schemas.microsoft.com/office/drawing/2014/chart" uri="{C3380CC4-5D6E-409C-BE32-E72D297353CC}">
              <c16:uniqueId val="{00000001-7014-49F1-AF02-AD913637E3F0}"/>
            </c:ext>
          </c:extLst>
        </c:ser>
        <c:ser>
          <c:idx val="3"/>
          <c:order val="3"/>
          <c:tx>
            <c:strRef>
              <c:f>'Салдо Тек. сч 1д (UZ)'!$H$37</c:f>
              <c:strCache>
                <c:ptCount val="1"/>
                <c:pt idx="0">
                  <c:v>Services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'Салдо Тек. сч 1д (UZ)'!$B$42:$C$51</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'Салдо Тек. сч 1д (UZ)'!$H$42:$H$51</c:f>
              <c:numCache>
                <c:formatCode>_-* #,##0.0_р_._-;\-* #,##0.0_р_._-;_-* "-"??_р_._-;_-@_-</c:formatCode>
                <c:ptCount val="10"/>
                <c:pt idx="0">
                  <c:v>-554.03529090823781</c:v>
                </c:pt>
                <c:pt idx="1">
                  <c:v>-522.39773014021875</c:v>
                </c:pt>
                <c:pt idx="2">
                  <c:v>-607.33233052644403</c:v>
                </c:pt>
                <c:pt idx="3">
                  <c:v>-582.29430779444795</c:v>
                </c:pt>
                <c:pt idx="4">
                  <c:v>-457.42831116650416</c:v>
                </c:pt>
                <c:pt idx="5">
                  <c:v>-371.1337302735563</c:v>
                </c:pt>
                <c:pt idx="6">
                  <c:v>-442.54182491393419</c:v>
                </c:pt>
                <c:pt idx="7">
                  <c:v>-540.07037529591071</c:v>
                </c:pt>
                <c:pt idx="8">
                  <c:v>-420.70993189643087</c:v>
                </c:pt>
                <c:pt idx="9">
                  <c:v>-666.83375495662165</c:v>
                </c:pt>
              </c:numCache>
            </c:numRef>
          </c:val>
          <c:extLst>
            <c:ext xmlns:c16="http://schemas.microsoft.com/office/drawing/2014/chart" uri="{C3380CC4-5D6E-409C-BE32-E72D297353CC}">
              <c16:uniqueId val="{00000002-7014-49F1-AF02-AD913637E3F0}"/>
            </c:ext>
          </c:extLst>
        </c:ser>
        <c:ser>
          <c:idx val="4"/>
          <c:order val="4"/>
          <c:tx>
            <c:strRef>
              <c:f>'Салдо Тек. сч 1д (UZ)'!$I$37</c:f>
              <c:strCache>
                <c:ptCount val="1"/>
                <c:pt idx="0">
                  <c:v>Secondary income</c:v>
                </c:pt>
              </c:strCache>
            </c:strRef>
          </c:tx>
          <c:spPr>
            <a:solidFill>
              <a:schemeClr val="accent1"/>
            </a:solidFill>
            <a:ln>
              <a:noFill/>
            </a:ln>
            <a:effectLst/>
          </c:spPr>
          <c:invertIfNegative val="0"/>
          <c:cat>
            <c:multiLvlStrRef>
              <c:f>'Салдо Тек. сч 1д (UZ)'!$B$42:$C$51</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'Салдо Тек. сч 1д (UZ)'!$I$42:$I$51</c:f>
              <c:numCache>
                <c:formatCode>_-* #,##0.0_р_._-;\-* #,##0.0_р_._-;_-* "-"??_р_._-;_-@_-</c:formatCode>
                <c:ptCount val="10"/>
                <c:pt idx="0">
                  <c:v>862.69022311319122</c:v>
                </c:pt>
                <c:pt idx="1">
                  <c:v>1299.2012321381824</c:v>
                </c:pt>
                <c:pt idx="2">
                  <c:v>1714.3704906192827</c:v>
                </c:pt>
                <c:pt idx="3">
                  <c:v>1578.2878563829374</c:v>
                </c:pt>
                <c:pt idx="4">
                  <c:v>1018.0378083500202</c:v>
                </c:pt>
                <c:pt idx="5">
                  <c:v>1122.9743224081376</c:v>
                </c:pt>
                <c:pt idx="6">
                  <c:v>1466.9411959320669</c:v>
                </c:pt>
                <c:pt idx="7">
                  <c:v>1531.5358976590182</c:v>
                </c:pt>
                <c:pt idx="8">
                  <c:v>1154.1611539445976</c:v>
                </c:pt>
                <c:pt idx="9">
                  <c:v>1314.1667657667479</c:v>
                </c:pt>
              </c:numCache>
            </c:numRef>
          </c:val>
          <c:extLst>
            <c:ext xmlns:c16="http://schemas.microsoft.com/office/drawing/2014/chart" uri="{C3380CC4-5D6E-409C-BE32-E72D297353CC}">
              <c16:uniqueId val="{00000003-7014-49F1-AF02-AD913637E3F0}"/>
            </c:ext>
          </c:extLst>
        </c:ser>
        <c:dLbls>
          <c:showLegendKey val="0"/>
          <c:showVal val="0"/>
          <c:showCatName val="0"/>
          <c:showSerName val="0"/>
          <c:showPercent val="0"/>
          <c:showBubbleSize val="0"/>
        </c:dLbls>
        <c:gapWidth val="233"/>
        <c:overlap val="100"/>
        <c:axId val="212231200"/>
        <c:axId val="212232864"/>
      </c:barChart>
      <c:scatterChart>
        <c:scatterStyle val="smoothMarker"/>
        <c:varyColors val="0"/>
        <c:ser>
          <c:idx val="2"/>
          <c:order val="2"/>
          <c:tx>
            <c:strRef>
              <c:f>'Салдо Тек. сч 1д (UZ)'!$G$37</c:f>
              <c:strCache>
                <c:ptCount val="1"/>
                <c:pt idx="0">
                  <c:v>Current account balance</c:v>
                </c:pt>
              </c:strCache>
            </c:strRef>
          </c:tx>
          <c:spPr>
            <a:ln w="31750" cap="rnd">
              <a:solidFill>
                <a:schemeClr val="accent1"/>
              </a:solidFill>
              <a:round/>
            </a:ln>
            <a:effectLst/>
          </c:spPr>
          <c:marker>
            <c:symbol val="circle"/>
            <c:size val="6"/>
            <c:spPr>
              <a:solidFill>
                <a:schemeClr val="accent1"/>
              </a:solidFill>
              <a:ln w="12700">
                <a:solidFill>
                  <a:schemeClr val="lt2"/>
                </a:solidFill>
                <a:round/>
              </a:ln>
              <a:effectLst/>
            </c:spPr>
          </c:marker>
          <c:dLbls>
            <c:dLbl>
              <c:idx val="0"/>
              <c:layout>
                <c:manualLayout>
                  <c:x val="8.2742878223677381E-3"/>
                  <c:y val="2.41235353761356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014-49F1-AF02-AD913637E3F0}"/>
                </c:ext>
              </c:extLst>
            </c:dLbl>
            <c:dLbl>
              <c:idx val="3"/>
              <c:layout>
                <c:manualLayout>
                  <c:x val="1.9521717911174753E-3"/>
                  <c:y val="1.63872194140291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014-49F1-AF02-AD913637E3F0}"/>
                </c:ext>
              </c:extLst>
            </c:dLbl>
            <c:dLbl>
              <c:idx val="4"/>
              <c:layout>
                <c:manualLayout>
                  <c:x val="-7.2075400403503999E-17"/>
                  <c:y val="3.12386928845390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014-49F1-AF02-AD913637E3F0}"/>
                </c:ext>
              </c:extLst>
            </c:dLbl>
            <c:dLbl>
              <c:idx val="7"/>
              <c:layout>
                <c:manualLayout>
                  <c:x val="5.8971463383827565E-3"/>
                  <c:y val="3.12386928845390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014-49F1-AF02-AD913637E3F0}"/>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xVal>
            <c:strRef>
              <c:f>'Салдо Тек. сч 1д (UZ)'!$A$42:$A$51</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xVal>
          <c:yVal>
            <c:numRef>
              <c:f>'Салдо Тек. сч 1д (UZ)'!$G$42:$G$51</c:f>
              <c:numCache>
                <c:formatCode>_-* #,##0.0_р_._-;\-* #,##0.0_р_._-;_-* "-"??_р_._-;_-@_-</c:formatCode>
                <c:ptCount val="10"/>
                <c:pt idx="0">
                  <c:v>-1046.2010174849247</c:v>
                </c:pt>
                <c:pt idx="1">
                  <c:v>-712.89518682972084</c:v>
                </c:pt>
                <c:pt idx="2">
                  <c:v>-14.508305981858939</c:v>
                </c:pt>
                <c:pt idx="3">
                  <c:v>-1592.0334405888761</c:v>
                </c:pt>
                <c:pt idx="4">
                  <c:v>-880.31771411339651</c:v>
                </c:pt>
                <c:pt idx="5">
                  <c:v>-1025.0421578464466</c:v>
                </c:pt>
                <c:pt idx="6">
                  <c:v>1626.6987177219617</c:v>
                </c:pt>
                <c:pt idx="7">
                  <c:v>-2727.8916612267885</c:v>
                </c:pt>
                <c:pt idx="8">
                  <c:v>-2092.5601797496042</c:v>
                </c:pt>
                <c:pt idx="9">
                  <c:v>-1178.5046496150826</c:v>
                </c:pt>
              </c:numCache>
            </c:numRef>
          </c:yVal>
          <c:smooth val="1"/>
          <c:extLst>
            <c:ext xmlns:c16="http://schemas.microsoft.com/office/drawing/2014/chart" uri="{C3380CC4-5D6E-409C-BE32-E72D297353CC}">
              <c16:uniqueId val="{00000008-7014-49F1-AF02-AD913637E3F0}"/>
            </c:ext>
          </c:extLst>
        </c:ser>
        <c:dLbls>
          <c:showLegendKey val="0"/>
          <c:showVal val="0"/>
          <c:showCatName val="0"/>
          <c:showSerName val="0"/>
          <c:showPercent val="0"/>
          <c:showBubbleSize val="0"/>
        </c:dLbls>
        <c:axId val="212231200"/>
        <c:axId val="212232864"/>
      </c:scatterChart>
      <c:catAx>
        <c:axId val="212231200"/>
        <c:scaling>
          <c:orientation val="minMax"/>
        </c:scaling>
        <c:delete val="0"/>
        <c:axPos val="b"/>
        <c:majorGridlines>
          <c:spPr>
            <a:ln w="9525" cap="flat" cmpd="sng" algn="ctr">
              <a:solidFill>
                <a:schemeClr val="bg1">
                  <a:lumMod val="75000"/>
                </a:schemeClr>
              </a:solidFill>
              <a:miter lim="800000"/>
            </a:ln>
            <a:effectLst/>
          </c:spPr>
        </c:majorGridlines>
        <c:minorGridlines>
          <c:spPr>
            <a:ln>
              <a:solidFill>
                <a:schemeClr val="accent1">
                  <a:lumMod val="20000"/>
                  <a:lumOff val="80000"/>
                </a:schemeClr>
              </a:solidFill>
            </a:ln>
            <a:effectLst/>
          </c:spPr>
        </c:minorGridlines>
        <c:numFmt formatCode="General" sourceLinked="1"/>
        <c:majorTickMark val="none"/>
        <c:minorTickMark val="none"/>
        <c:tickLblPos val="low"/>
        <c:spPr>
          <a:noFill/>
          <a:ln w="6350" cap="flat" cmpd="sng" algn="ctr">
            <a:solidFill>
              <a:schemeClr val="bg1">
                <a:lumMod val="6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12232864"/>
        <c:crosses val="autoZero"/>
        <c:auto val="1"/>
        <c:lblAlgn val="ctr"/>
        <c:lblOffset val="100"/>
        <c:noMultiLvlLbl val="0"/>
      </c:catAx>
      <c:valAx>
        <c:axId val="212232864"/>
        <c:scaling>
          <c:orientation val="minMax"/>
          <c:max val="3000"/>
          <c:min val="-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31200"/>
        <c:crosses val="autoZero"/>
        <c:crossBetween val="between"/>
        <c:majorUnit val="1000"/>
        <c:minorUnit val="500"/>
      </c:valAx>
      <c:spPr>
        <a:noFill/>
        <a:ln>
          <a:noFill/>
        </a:ln>
        <a:effectLst/>
      </c:spPr>
    </c:plotArea>
    <c:legend>
      <c:legendPos val="b"/>
      <c:layout>
        <c:manualLayout>
          <c:xMode val="edge"/>
          <c:yMode val="edge"/>
          <c:x val="4.6593956864464076E-2"/>
          <c:y val="0.89794835579936483"/>
          <c:w val="0.93153320232691184"/>
          <c:h val="7.90486514354671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Первичный!$A$73</c:f>
              <c:strCache>
                <c:ptCount val="1"/>
                <c:pt idx="0">
                  <c:v>Receivable salary</c:v>
                </c:pt>
              </c:strCache>
            </c:strRef>
          </c:tx>
          <c:spPr>
            <a:solidFill>
              <a:schemeClr val="accent2"/>
            </a:soli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Первичный!$H$73:$Q$73</c:f>
              <c:numCache>
                <c:formatCode>_-* #,##0_р_._-;\-* #,##0_р_._-;_-* "-"??_р_._-;_-@_-</c:formatCode>
                <c:ptCount val="10"/>
                <c:pt idx="0">
                  <c:v>683.31777135849995</c:v>
                </c:pt>
                <c:pt idx="1">
                  <c:v>714.20098303449993</c:v>
                </c:pt>
                <c:pt idx="2">
                  <c:v>667.91784342699987</c:v>
                </c:pt>
                <c:pt idx="3">
                  <c:v>595.25986118549986</c:v>
                </c:pt>
                <c:pt idx="4">
                  <c:v>573.82215021049979</c:v>
                </c:pt>
                <c:pt idx="5">
                  <c:v>315.78630767400006</c:v>
                </c:pt>
                <c:pt idx="6">
                  <c:v>372.92525709669479</c:v>
                </c:pt>
                <c:pt idx="7">
                  <c:v>175.36249485435343</c:v>
                </c:pt>
                <c:pt idx="8">
                  <c:v>302.14367993294275</c:v>
                </c:pt>
                <c:pt idx="9">
                  <c:v>715.72881740984792</c:v>
                </c:pt>
              </c:numCache>
            </c:numRef>
          </c:val>
          <c:extLst>
            <c:ext xmlns:c16="http://schemas.microsoft.com/office/drawing/2014/chart" uri="{C3380CC4-5D6E-409C-BE32-E72D297353CC}">
              <c16:uniqueId val="{00000000-25E1-4410-BFCA-BB232E00D5E9}"/>
            </c:ext>
          </c:extLst>
        </c:ser>
        <c:ser>
          <c:idx val="1"/>
          <c:order val="1"/>
          <c:tx>
            <c:strRef>
              <c:f>Первичный!$A$74</c:f>
              <c:strCache>
                <c:ptCount val="1"/>
                <c:pt idx="0">
                  <c:v>Accrued interest on loans</c:v>
                </c:pt>
              </c:strCache>
            </c:strRef>
          </c:tx>
          <c:spPr>
            <a:solidFill>
              <a:schemeClr val="accent1"/>
            </a:soli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Первичный!$H$74:$Q$74</c:f>
              <c:numCache>
                <c:formatCode>_-* #,##0_р_._-;\-* #,##0_р_._-;_-* "-"??_р_._-;_-@_-</c:formatCode>
                <c:ptCount val="10"/>
                <c:pt idx="0">
                  <c:v>-147.54940663208933</c:v>
                </c:pt>
                <c:pt idx="1">
                  <c:v>-152.91150940323541</c:v>
                </c:pt>
                <c:pt idx="2">
                  <c:v>-159.83673450194982</c:v>
                </c:pt>
                <c:pt idx="3">
                  <c:v>-229.21358065900787</c:v>
                </c:pt>
                <c:pt idx="4">
                  <c:v>-182.82525173789261</c:v>
                </c:pt>
                <c:pt idx="5">
                  <c:v>-198.24312573516545</c:v>
                </c:pt>
                <c:pt idx="6">
                  <c:v>-188.07065173525177</c:v>
                </c:pt>
                <c:pt idx="7">
                  <c:v>-169.37900746206665</c:v>
                </c:pt>
                <c:pt idx="8">
                  <c:v>-172.92788864233796</c:v>
                </c:pt>
                <c:pt idx="9">
                  <c:v>-201.25940601882274</c:v>
                </c:pt>
              </c:numCache>
            </c:numRef>
          </c:val>
          <c:extLst>
            <c:ext xmlns:c16="http://schemas.microsoft.com/office/drawing/2014/chart" uri="{C3380CC4-5D6E-409C-BE32-E72D297353CC}">
              <c16:uniqueId val="{00000001-25E1-4410-BFCA-BB232E00D5E9}"/>
            </c:ext>
          </c:extLst>
        </c:ser>
        <c:ser>
          <c:idx val="2"/>
          <c:order val="2"/>
          <c:tx>
            <c:strRef>
              <c:f>Первичный!$A$75</c:f>
              <c:strCache>
                <c:ptCount val="1"/>
                <c:pt idx="0">
                  <c:v>Income from international reserve assets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Первичный!$H$75:$Q$75</c:f>
              <c:numCache>
                <c:formatCode>_-* #,##0_р_._-;\-* #,##0_р_._-;_-* "-"??_р_._-;_-@_-</c:formatCode>
                <c:ptCount val="10"/>
                <c:pt idx="0">
                  <c:v>73.956763930890688</c:v>
                </c:pt>
                <c:pt idx="1">
                  <c:v>72.120726823257783</c:v>
                </c:pt>
                <c:pt idx="2">
                  <c:v>76.653126960165096</c:v>
                </c:pt>
                <c:pt idx="3">
                  <c:v>60.963017861666181</c:v>
                </c:pt>
                <c:pt idx="4">
                  <c:v>57.283183634956615</c:v>
                </c:pt>
                <c:pt idx="5">
                  <c:v>43.7345392</c:v>
                </c:pt>
                <c:pt idx="6">
                  <c:v>23.870235539895752</c:v>
                </c:pt>
                <c:pt idx="7">
                  <c:v>12.29402101</c:v>
                </c:pt>
                <c:pt idx="8">
                  <c:v>10.941229219999999</c:v>
                </c:pt>
                <c:pt idx="9">
                  <c:v>10.10759977</c:v>
                </c:pt>
              </c:numCache>
            </c:numRef>
          </c:val>
          <c:extLst>
            <c:ext xmlns:c16="http://schemas.microsoft.com/office/drawing/2014/chart" uri="{C3380CC4-5D6E-409C-BE32-E72D297353CC}">
              <c16:uniqueId val="{00000002-25E1-4410-BFCA-BB232E00D5E9}"/>
            </c:ext>
          </c:extLst>
        </c:ser>
        <c:ser>
          <c:idx val="3"/>
          <c:order val="3"/>
          <c:tx>
            <c:strRef>
              <c:f>Первичный!$A$76</c:f>
              <c:strCache>
                <c:ptCount val="1"/>
                <c:pt idx="0">
                  <c:v>Accrued income on direct investment liabilities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Первичный!$H$76:$Q$76</c:f>
              <c:numCache>
                <c:formatCode>_-* #,##0_р_._-;\-* #,##0_р_._-;_-* "-"??_р_._-;_-@_-</c:formatCode>
                <c:ptCount val="10"/>
                <c:pt idx="0">
                  <c:v>-258.48768892634354</c:v>
                </c:pt>
                <c:pt idx="1">
                  <c:v>-225.01043329466953</c:v>
                </c:pt>
                <c:pt idx="2">
                  <c:v>-297.75657824959296</c:v>
                </c:pt>
                <c:pt idx="3">
                  <c:v>-648.01524740534728</c:v>
                </c:pt>
                <c:pt idx="4">
                  <c:v>-168.59483153885429</c:v>
                </c:pt>
                <c:pt idx="5">
                  <c:v>-184.77573880367035</c:v>
                </c:pt>
                <c:pt idx="6">
                  <c:v>-231.9234760749105</c:v>
                </c:pt>
                <c:pt idx="7">
                  <c:v>-262.57965933807441</c:v>
                </c:pt>
                <c:pt idx="8">
                  <c:v>-262.57965933807441</c:v>
                </c:pt>
                <c:pt idx="9">
                  <c:v>-341.84711957516168</c:v>
                </c:pt>
              </c:numCache>
            </c:numRef>
          </c:val>
          <c:extLst>
            <c:ext xmlns:c16="http://schemas.microsoft.com/office/drawing/2014/chart" uri="{C3380CC4-5D6E-409C-BE32-E72D297353CC}">
              <c16:uniqueId val="{00000003-25E1-4410-BFCA-BB232E00D5E9}"/>
            </c:ext>
          </c:extLst>
        </c:ser>
        <c:ser>
          <c:idx val="4"/>
          <c:order val="4"/>
          <c:tx>
            <c:strRef>
              <c:f>Первичный!$A$77</c:f>
              <c:strCache>
                <c:ptCount val="1"/>
                <c:pt idx="0">
                  <c:v>Other receivable income</c:v>
                </c:pt>
              </c:strCache>
            </c:strRef>
          </c:tx>
          <c:spPr>
            <a:solidFill>
              <a:schemeClr val="tx1"/>
            </a:soli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Первичный!$H$77:$Q$77</c:f>
              <c:numCache>
                <c:formatCode>_-* #,##0_р_._-;\-* #,##0_р_._-;_-* "-"??_р_._-;_-@_-</c:formatCode>
                <c:ptCount val="10"/>
                <c:pt idx="0">
                  <c:v>2.5624633644516202</c:v>
                </c:pt>
                <c:pt idx="1">
                  <c:v>3.2671837268270703</c:v>
                </c:pt>
                <c:pt idx="2">
                  <c:v>3.5178470652678806</c:v>
                </c:pt>
                <c:pt idx="3">
                  <c:v>3.17609221625065</c:v>
                </c:pt>
                <c:pt idx="4">
                  <c:v>3.5633930146611403</c:v>
                </c:pt>
                <c:pt idx="5">
                  <c:v>1.7978178033221333</c:v>
                </c:pt>
                <c:pt idx="6">
                  <c:v>1.2887452527799645</c:v>
                </c:pt>
                <c:pt idx="7">
                  <c:v>1.3058299570414449</c:v>
                </c:pt>
                <c:pt idx="8">
                  <c:v>1.4475143997343656</c:v>
                </c:pt>
                <c:pt idx="9">
                  <c:v>1.3565116056028623</c:v>
                </c:pt>
              </c:numCache>
            </c:numRef>
          </c:val>
          <c:extLst>
            <c:ext xmlns:c16="http://schemas.microsoft.com/office/drawing/2014/chart" uri="{C3380CC4-5D6E-409C-BE32-E72D297353CC}">
              <c16:uniqueId val="{00000004-25E1-4410-BFCA-BB232E00D5E9}"/>
            </c:ext>
          </c:extLst>
        </c:ser>
        <c:ser>
          <c:idx val="5"/>
          <c:order val="5"/>
          <c:tx>
            <c:strRef>
              <c:f>Первичный!$A$78</c:f>
              <c:strCache>
                <c:ptCount val="1"/>
                <c:pt idx="0">
                  <c:v>Other payable income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Первичный!$H$78:$Q$78</c:f>
              <c:numCache>
                <c:formatCode>_-* #,##0_р_._-;\-* #,##0_р_._-;_-* "-"??_р_._-;_-@_-</c:formatCode>
                <c:ptCount val="10"/>
                <c:pt idx="0">
                  <c:v>-12.045518690013406</c:v>
                </c:pt>
                <c:pt idx="1">
                  <c:v>-24.006552817072425</c:v>
                </c:pt>
                <c:pt idx="2">
                  <c:v>-29.999532361396604</c:v>
                </c:pt>
                <c:pt idx="3">
                  <c:v>-35.235779063239349</c:v>
                </c:pt>
                <c:pt idx="4">
                  <c:v>-41.652194118951847</c:v>
                </c:pt>
                <c:pt idx="5">
                  <c:v>-44.176070191344017</c:v>
                </c:pt>
                <c:pt idx="6">
                  <c:v>-44.740704406073164</c:v>
                </c:pt>
                <c:pt idx="7">
                  <c:v>-56.806814824879112</c:v>
                </c:pt>
                <c:pt idx="8">
                  <c:v>-70.346941579348254</c:v>
                </c:pt>
                <c:pt idx="9">
                  <c:v>-74.735250997158161</c:v>
                </c:pt>
              </c:numCache>
            </c:numRef>
          </c:val>
          <c:extLst>
            <c:ext xmlns:c16="http://schemas.microsoft.com/office/drawing/2014/chart" uri="{C3380CC4-5D6E-409C-BE32-E72D297353CC}">
              <c16:uniqueId val="{00000005-25E1-4410-BFCA-BB232E00D5E9}"/>
            </c:ext>
          </c:extLst>
        </c:ser>
        <c:dLbls>
          <c:showLegendKey val="0"/>
          <c:showVal val="0"/>
          <c:showCatName val="0"/>
          <c:showSerName val="0"/>
          <c:showPercent val="0"/>
          <c:showBubbleSize val="0"/>
        </c:dLbls>
        <c:gapWidth val="150"/>
        <c:overlap val="100"/>
        <c:axId val="1282475760"/>
        <c:axId val="1282452880"/>
      </c:barChart>
      <c:lineChart>
        <c:grouping val="standard"/>
        <c:varyColors val="0"/>
        <c:ser>
          <c:idx val="6"/>
          <c:order val="6"/>
          <c:tx>
            <c:strRef>
              <c:f>Первичный!$A$79</c:f>
              <c:strCache>
                <c:ptCount val="1"/>
                <c:pt idx="0">
                  <c:v>Primary income balance</c:v>
                </c:pt>
              </c:strCache>
            </c:strRef>
          </c:tx>
          <c:spPr>
            <a:ln w="31750" cap="rnd">
              <a:solidFill>
                <a:schemeClr val="accent1">
                  <a:lumMod val="60000"/>
                </a:schemeClr>
              </a:solidFill>
              <a:round/>
            </a:ln>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1.6707206857584263E-3"/>
                  <c:y val="1.22844418994261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5E1-4410-BFCA-BB232E00D5E9}"/>
                </c:ext>
              </c:extLst>
            </c:dLbl>
            <c:dLbl>
              <c:idx val="1"/>
              <c:layout>
                <c:manualLayout>
                  <c:x val="0"/>
                  <c:y val="-9.213331424569657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5E1-4410-BFCA-BB232E00D5E9}"/>
                </c:ext>
              </c:extLst>
            </c:dLbl>
            <c:dLbl>
              <c:idx val="5"/>
              <c:layout>
                <c:manualLayout>
                  <c:x val="2.0159258139300475E-3"/>
                  <c:y val="2.10332588405416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5E1-4410-BFCA-BB232E00D5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Первичный!$H$79:$Q$79</c:f>
              <c:numCache>
                <c:formatCode>_-* #,##0_р_._-;\-* #,##0_р_._-;_-* "-"??_р_._-;_-@_-</c:formatCode>
                <c:ptCount val="10"/>
                <c:pt idx="0">
                  <c:v>341.75438440539602</c:v>
                </c:pt>
                <c:pt idx="1">
                  <c:v>387.66039806960742</c:v>
                </c:pt>
                <c:pt idx="2">
                  <c:v>260.49597233949339</c:v>
                </c:pt>
                <c:pt idx="3">
                  <c:v>-253.06563586417786</c:v>
                </c:pt>
                <c:pt idx="4">
                  <c:v>241.59644946441881</c:v>
                </c:pt>
                <c:pt idx="5">
                  <c:v>-65.87627005285762</c:v>
                </c:pt>
                <c:pt idx="6">
                  <c:v>-66.650594326864933</c:v>
                </c:pt>
                <c:pt idx="7">
                  <c:v>-299.80313580362531</c:v>
                </c:pt>
                <c:pt idx="8">
                  <c:v>-38.046573330406289</c:v>
                </c:pt>
                <c:pt idx="9">
                  <c:v>109.35115219430831</c:v>
                </c:pt>
              </c:numCache>
            </c:numRef>
          </c:val>
          <c:smooth val="0"/>
          <c:extLst>
            <c:ext xmlns:c16="http://schemas.microsoft.com/office/drawing/2014/chart" uri="{C3380CC4-5D6E-409C-BE32-E72D297353CC}">
              <c16:uniqueId val="{00000008-25E1-4410-BFCA-BB232E00D5E9}"/>
            </c:ext>
          </c:extLst>
        </c:ser>
        <c:dLbls>
          <c:showLegendKey val="0"/>
          <c:showVal val="0"/>
          <c:showCatName val="0"/>
          <c:showSerName val="0"/>
          <c:showPercent val="0"/>
          <c:showBubbleSize val="0"/>
        </c:dLbls>
        <c:marker val="1"/>
        <c:smooth val="0"/>
        <c:axId val="1182680800"/>
        <c:axId val="1282480336"/>
      </c:lineChart>
      <c:catAx>
        <c:axId val="128247576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52880"/>
        <c:crosses val="autoZero"/>
        <c:auto val="1"/>
        <c:lblAlgn val="ctr"/>
        <c:lblOffset val="100"/>
        <c:noMultiLvlLbl val="0"/>
      </c:catAx>
      <c:valAx>
        <c:axId val="1282452880"/>
        <c:scaling>
          <c:orientation val="minMax"/>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75760"/>
        <c:crosses val="autoZero"/>
        <c:crossBetween val="between"/>
      </c:valAx>
      <c:valAx>
        <c:axId val="1282480336"/>
        <c:scaling>
          <c:orientation val="minMax"/>
        </c:scaling>
        <c:delete val="1"/>
        <c:axPos val="r"/>
        <c:numFmt formatCode="_-* #,##0_р_._-;\-* #,##0_р_._-;_-* &quot;-&quot;??_р_._-;_-@_-" sourceLinked="1"/>
        <c:majorTickMark val="none"/>
        <c:minorTickMark val="none"/>
        <c:tickLblPos val="nextTo"/>
        <c:crossAx val="1182680800"/>
        <c:crosses val="max"/>
        <c:crossBetween val="between"/>
      </c:valAx>
      <c:catAx>
        <c:axId val="1182680800"/>
        <c:scaling>
          <c:orientation val="minMax"/>
        </c:scaling>
        <c:delete val="1"/>
        <c:axPos val="b"/>
        <c:numFmt formatCode="General" sourceLinked="1"/>
        <c:majorTickMark val="none"/>
        <c:minorTickMark val="none"/>
        <c:tickLblPos val="nextTo"/>
        <c:crossAx val="1282480336"/>
        <c:crosses val="autoZero"/>
        <c:auto val="1"/>
        <c:lblAlgn val="ctr"/>
        <c:lblOffset val="100"/>
        <c:noMultiLvlLbl val="0"/>
      </c:catAx>
      <c:spPr>
        <a:noFill/>
        <a:ln>
          <a:noFill/>
        </a:ln>
        <a:effectLst/>
      </c:spPr>
    </c:plotArea>
    <c:legend>
      <c:legendPos val="b"/>
      <c:layout>
        <c:manualLayout>
          <c:xMode val="edge"/>
          <c:yMode val="edge"/>
          <c:x val="0.10478116310143057"/>
          <c:y val="0.84414547423190878"/>
          <c:w val="0.84095090816669871"/>
          <c:h val="0.1376974109669926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60178084037143E-2"/>
          <c:y val="6.4654053793937918E-2"/>
          <c:w val="0.89638784244231617"/>
          <c:h val="0.67830040611278386"/>
        </c:manualLayout>
      </c:layout>
      <c:barChart>
        <c:barDir val="col"/>
        <c:grouping val="stacked"/>
        <c:varyColors val="0"/>
        <c:ser>
          <c:idx val="0"/>
          <c:order val="0"/>
          <c:tx>
            <c:strRef>
              <c:f>Вторичный!$A$49</c:f>
              <c:strCache>
                <c:ptCount val="1"/>
                <c:pt idx="0">
                  <c:v>General government (received)</c:v>
                </c:pt>
              </c:strCache>
            </c:strRef>
          </c:tx>
          <c:spPr>
            <a:solidFill>
              <a:schemeClr val="tx1"/>
            </a:solidFill>
            <a:ln>
              <a:noFill/>
            </a:ln>
            <a:effectLst/>
          </c:spPr>
          <c:invertIfNegative val="0"/>
          <c:cat>
            <c:strRef>
              <c:f>Вторичный!$H$46:$Q$46</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Вторичный!$H$49:$Q$49</c:f>
              <c:numCache>
                <c:formatCode>_-* #,##0_р_._-;\-* #,##0_р_._-;_-* "-"??_р_._-;_-@_-</c:formatCode>
                <c:ptCount val="10"/>
                <c:pt idx="0">
                  <c:v>14.583836939999999</c:v>
                </c:pt>
                <c:pt idx="1">
                  <c:v>9.6976031861012615</c:v>
                </c:pt>
                <c:pt idx="2">
                  <c:v>8.2773127947517828</c:v>
                </c:pt>
                <c:pt idx="3">
                  <c:v>7.6946069375039441</c:v>
                </c:pt>
                <c:pt idx="4">
                  <c:v>13.270115774030479</c:v>
                </c:pt>
                <c:pt idx="5">
                  <c:v>7.6121731537044086</c:v>
                </c:pt>
                <c:pt idx="6">
                  <c:v>5.3332417581257285</c:v>
                </c:pt>
                <c:pt idx="7">
                  <c:v>8.7615705683264657</c:v>
                </c:pt>
                <c:pt idx="8">
                  <c:v>15.606936577954116</c:v>
                </c:pt>
                <c:pt idx="9">
                  <c:v>5.1605628759729711</c:v>
                </c:pt>
              </c:numCache>
            </c:numRef>
          </c:val>
          <c:extLst>
            <c:ext xmlns:c16="http://schemas.microsoft.com/office/drawing/2014/chart" uri="{C3380CC4-5D6E-409C-BE32-E72D297353CC}">
              <c16:uniqueId val="{00000000-FC72-465F-9F76-695789DD2694}"/>
            </c:ext>
          </c:extLst>
        </c:ser>
        <c:ser>
          <c:idx val="1"/>
          <c:order val="1"/>
          <c:tx>
            <c:strRef>
              <c:f>Вторичный!$A$50</c:f>
              <c:strCache>
                <c:ptCount val="1"/>
                <c:pt idx="0">
                  <c:v>General government (paid)</c:v>
                </c:pt>
              </c:strCache>
            </c:strRef>
          </c:tx>
          <c:spPr>
            <a:solidFill>
              <a:schemeClr val="accent4"/>
            </a:solidFill>
            <a:ln>
              <a:noFill/>
            </a:ln>
            <a:effectLst/>
          </c:spPr>
          <c:invertIfNegative val="0"/>
          <c:cat>
            <c:strRef>
              <c:f>Вторичный!$H$46:$Q$46</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Вторичный!$H$50:$Q$50</c:f>
              <c:numCache>
                <c:formatCode>_-* #,##0_р_._-;\-* #,##0_р_._-;_-* "-"??_р_._-;_-@_-</c:formatCode>
                <c:ptCount val="10"/>
                <c:pt idx="0">
                  <c:v>-0.41173926555273116</c:v>
                </c:pt>
                <c:pt idx="1">
                  <c:v>-0.35054671481242117</c:v>
                </c:pt>
                <c:pt idx="2">
                  <c:v>-0.72507790569423236</c:v>
                </c:pt>
                <c:pt idx="3">
                  <c:v>-15.505950795499748</c:v>
                </c:pt>
                <c:pt idx="4">
                  <c:v>0</c:v>
                </c:pt>
                <c:pt idx="5">
                  <c:v>-0.31486600754512239</c:v>
                </c:pt>
                <c:pt idx="6">
                  <c:v>-5.431992637378678</c:v>
                </c:pt>
                <c:pt idx="7">
                  <c:v>-2.2409595380618494</c:v>
                </c:pt>
                <c:pt idx="8">
                  <c:v>-0.50991105965119243</c:v>
                </c:pt>
                <c:pt idx="9">
                  <c:v>-6.3631889947925977</c:v>
                </c:pt>
              </c:numCache>
            </c:numRef>
          </c:val>
          <c:extLst>
            <c:ext xmlns:c16="http://schemas.microsoft.com/office/drawing/2014/chart" uri="{C3380CC4-5D6E-409C-BE32-E72D297353CC}">
              <c16:uniqueId val="{00000001-FC72-465F-9F76-695789DD2694}"/>
            </c:ext>
          </c:extLst>
        </c:ser>
        <c:ser>
          <c:idx val="2"/>
          <c:order val="2"/>
          <c:tx>
            <c:strRef>
              <c:f>Вторичный!$A$51</c:f>
              <c:strCache>
                <c:ptCount val="1"/>
                <c:pt idx="0">
                  <c:v>Housholds (received)</c:v>
                </c:pt>
              </c:strCache>
            </c:strRef>
          </c:tx>
          <c:spPr>
            <a:solidFill>
              <a:schemeClr val="accent2"/>
            </a:solidFill>
            <a:ln>
              <a:noFill/>
            </a:ln>
            <a:effectLst/>
          </c:spPr>
          <c:invertIfNegative val="0"/>
          <c:cat>
            <c:strRef>
              <c:f>Вторичный!$H$46:$Q$46</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Вторичный!$H$51:$Q$51</c:f>
              <c:numCache>
                <c:formatCode>_-* #,##0_р_._-;\-* #,##0_р_._-;_-* "-"??_р_._-;_-@_-</c:formatCode>
                <c:ptCount val="10"/>
                <c:pt idx="0">
                  <c:v>956.14776577384896</c:v>
                </c:pt>
                <c:pt idx="1">
                  <c:v>1409.1210668019683</c:v>
                </c:pt>
                <c:pt idx="2">
                  <c:v>1826.5717712283674</c:v>
                </c:pt>
                <c:pt idx="3">
                  <c:v>1693.2760438058629</c:v>
                </c:pt>
                <c:pt idx="4">
                  <c:v>1110.839883185992</c:v>
                </c:pt>
                <c:pt idx="5">
                  <c:v>1190.1969751291649</c:v>
                </c:pt>
                <c:pt idx="6">
                  <c:v>1610.1175284844503</c:v>
                </c:pt>
                <c:pt idx="7">
                  <c:v>1630.7444722028822</c:v>
                </c:pt>
                <c:pt idx="8">
                  <c:v>1221.8982507548826</c:v>
                </c:pt>
                <c:pt idx="9">
                  <c:v>1456.8587478005095</c:v>
                </c:pt>
              </c:numCache>
            </c:numRef>
          </c:val>
          <c:extLst>
            <c:ext xmlns:c16="http://schemas.microsoft.com/office/drawing/2014/chart" uri="{C3380CC4-5D6E-409C-BE32-E72D297353CC}">
              <c16:uniqueId val="{00000002-FC72-465F-9F76-695789DD2694}"/>
            </c:ext>
          </c:extLst>
        </c:ser>
        <c:ser>
          <c:idx val="3"/>
          <c:order val="3"/>
          <c:tx>
            <c:strRef>
              <c:f>Вторичный!$A$52</c:f>
              <c:strCache>
                <c:ptCount val="1"/>
                <c:pt idx="0">
                  <c:v>Housholds (paid)</c:v>
                </c:pt>
              </c:strCache>
            </c:strRef>
          </c:tx>
          <c:spPr>
            <a:solidFill>
              <a:schemeClr val="accent5"/>
            </a:solidFill>
            <a:ln>
              <a:noFill/>
            </a:ln>
            <a:effectLst/>
          </c:spPr>
          <c:invertIfNegative val="0"/>
          <c:cat>
            <c:strRef>
              <c:f>Вторичный!$H$46:$Q$46</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Вторичный!$H$52:$Q$52</c:f>
              <c:numCache>
                <c:formatCode>_-* #,##0_р_._-;\-* #,##0_р_._-;_-* "-"??_р_._-;_-@_-</c:formatCode>
                <c:ptCount val="10"/>
                <c:pt idx="0">
                  <c:v>-55.841386851000003</c:v>
                </c:pt>
                <c:pt idx="1">
                  <c:v>-55.841386851000003</c:v>
                </c:pt>
                <c:pt idx="2">
                  <c:v>-55.841386851000003</c:v>
                </c:pt>
                <c:pt idx="3">
                  <c:v>-55.841386851000003</c:v>
                </c:pt>
                <c:pt idx="4">
                  <c:v>-55.841386851000003</c:v>
                </c:pt>
                <c:pt idx="5">
                  <c:v>-43.425479090000017</c:v>
                </c:pt>
                <c:pt idx="6">
                  <c:v>-60.263664150000004</c:v>
                </c:pt>
                <c:pt idx="7">
                  <c:v>-76.342268039999993</c:v>
                </c:pt>
                <c:pt idx="8">
                  <c:v>-66.692809010000005</c:v>
                </c:pt>
                <c:pt idx="9">
                  <c:v>-68.465746449999997</c:v>
                </c:pt>
              </c:numCache>
            </c:numRef>
          </c:val>
          <c:extLst>
            <c:ext xmlns:c16="http://schemas.microsoft.com/office/drawing/2014/chart" uri="{C3380CC4-5D6E-409C-BE32-E72D297353CC}">
              <c16:uniqueId val="{00000003-FC72-465F-9F76-695789DD2694}"/>
            </c:ext>
          </c:extLst>
        </c:ser>
        <c:ser>
          <c:idx val="4"/>
          <c:order val="4"/>
          <c:tx>
            <c:strRef>
              <c:f>Вторичный!$A$53</c:f>
              <c:strCache>
                <c:ptCount val="1"/>
                <c:pt idx="0">
                  <c:v>Other (received)</c:v>
                </c:pt>
              </c:strCache>
            </c:strRef>
          </c:tx>
          <c:spPr>
            <a:solidFill>
              <a:schemeClr val="accent3"/>
            </a:solidFill>
            <a:ln>
              <a:noFill/>
            </a:ln>
            <a:effectLst/>
          </c:spPr>
          <c:invertIfNegative val="0"/>
          <c:cat>
            <c:strRef>
              <c:f>Вторичный!$H$46:$Q$46</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Вторичный!$H$53:$Q$53</c:f>
              <c:numCache>
                <c:formatCode>_-* #,##0_р_._-;\-* #,##0_р_._-;_-* "-"??_р_._-;_-@_-</c:formatCode>
                <c:ptCount val="10"/>
                <c:pt idx="0">
                  <c:v>36.695</c:v>
                </c:pt>
                <c:pt idx="1">
                  <c:v>29.32307668291012</c:v>
                </c:pt>
                <c:pt idx="2">
                  <c:v>22.799507473367637</c:v>
                </c:pt>
                <c:pt idx="3">
                  <c:v>26.098998855185325</c:v>
                </c:pt>
                <c:pt idx="4">
                  <c:v>24.443475894362873</c:v>
                </c:pt>
                <c:pt idx="5">
                  <c:v>13.083931548933361</c:v>
                </c:pt>
                <c:pt idx="6">
                  <c:v>16.85583124347211</c:v>
                </c:pt>
                <c:pt idx="7">
                  <c:v>16.635300951507364</c:v>
                </c:pt>
                <c:pt idx="8">
                  <c:v>24.135265246459099</c:v>
                </c:pt>
                <c:pt idx="9">
                  <c:v>19.955735326419695</c:v>
                </c:pt>
              </c:numCache>
            </c:numRef>
          </c:val>
          <c:extLst>
            <c:ext xmlns:c16="http://schemas.microsoft.com/office/drawing/2014/chart" uri="{C3380CC4-5D6E-409C-BE32-E72D297353CC}">
              <c16:uniqueId val="{00000004-FC72-465F-9F76-695789DD2694}"/>
            </c:ext>
          </c:extLst>
        </c:ser>
        <c:ser>
          <c:idx val="5"/>
          <c:order val="5"/>
          <c:tx>
            <c:strRef>
              <c:f>Вторичный!$A$54</c:f>
              <c:strCache>
                <c:ptCount val="1"/>
                <c:pt idx="0">
                  <c:v>Other (paid)</c:v>
                </c:pt>
              </c:strCache>
            </c:strRef>
          </c:tx>
          <c:spPr>
            <a:solidFill>
              <a:schemeClr val="accent6"/>
            </a:solidFill>
            <a:ln>
              <a:noFill/>
            </a:ln>
            <a:effectLst/>
          </c:spPr>
          <c:invertIfNegative val="0"/>
          <c:cat>
            <c:strRef>
              <c:f>Вторичный!$H$46:$Q$46</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Вторичный!$H$54:$Q$54</c:f>
              <c:numCache>
                <c:formatCode>_-* #,##0_р_._-;\-* #,##0_р_._-;_-* "-"??_р_._-;_-@_-</c:formatCode>
                <c:ptCount val="10"/>
                <c:pt idx="0">
                  <c:v>-88.483253484105006</c:v>
                </c:pt>
                <c:pt idx="1">
                  <c:v>-92.748580966984989</c:v>
                </c:pt>
                <c:pt idx="2">
                  <c:v>-86.711636120509993</c:v>
                </c:pt>
                <c:pt idx="3">
                  <c:v>-77.434455569114988</c:v>
                </c:pt>
                <c:pt idx="4">
                  <c:v>-74.674279653365005</c:v>
                </c:pt>
                <c:pt idx="5">
                  <c:v>-44.178412326119997</c:v>
                </c:pt>
                <c:pt idx="6">
                  <c:v>-55.28213886546618</c:v>
                </c:pt>
                <c:pt idx="7">
                  <c:v>-27.326958196999698</c:v>
                </c:pt>
                <c:pt idx="8">
                  <c:v>-40.276578565047181</c:v>
                </c:pt>
                <c:pt idx="9">
                  <c:v>-92.97934479136174</c:v>
                </c:pt>
              </c:numCache>
            </c:numRef>
          </c:val>
          <c:extLst>
            <c:ext xmlns:c16="http://schemas.microsoft.com/office/drawing/2014/chart" uri="{C3380CC4-5D6E-409C-BE32-E72D297353CC}">
              <c16:uniqueId val="{00000005-FC72-465F-9F76-695789DD2694}"/>
            </c:ext>
          </c:extLst>
        </c:ser>
        <c:dLbls>
          <c:showLegendKey val="0"/>
          <c:showVal val="0"/>
          <c:showCatName val="0"/>
          <c:showSerName val="0"/>
          <c:showPercent val="0"/>
          <c:showBubbleSize val="0"/>
        </c:dLbls>
        <c:gapWidth val="135"/>
        <c:overlap val="100"/>
        <c:axId val="449684512"/>
        <c:axId val="349672320"/>
      </c:barChart>
      <c:lineChart>
        <c:grouping val="standard"/>
        <c:varyColors val="0"/>
        <c:ser>
          <c:idx val="6"/>
          <c:order val="6"/>
          <c:tx>
            <c:strRef>
              <c:f>Вторичный!$A$55</c:f>
              <c:strCache>
                <c:ptCount val="1"/>
                <c:pt idx="0">
                  <c:v>Secondary income balance</c:v>
                </c:pt>
              </c:strCache>
            </c:strRef>
          </c:tx>
          <c:spPr>
            <a:ln w="31750" cap="rnd">
              <a:solidFill>
                <a:schemeClr val="accent1">
                  <a:lumMod val="60000"/>
                </a:schemeClr>
              </a:solidFill>
              <a:round/>
            </a:ln>
            <a:effectLst/>
          </c:spPr>
          <c:marker>
            <c:symbol val="circle"/>
            <c:size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2.3590413420700881E-3"/>
                  <c:y val="-7.94339107766456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C72-465F-9F76-695789DD2694}"/>
                </c:ext>
              </c:extLst>
            </c:dLbl>
            <c:dLbl>
              <c:idx val="1"/>
              <c:layout>
                <c:manualLayout>
                  <c:x val="2.2747851267478233E-3"/>
                  <c:y val="-7.9853087086812664E-3"/>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C72-465F-9F76-695789DD2694}"/>
                </c:ext>
              </c:extLst>
            </c:dLbl>
            <c:dLbl>
              <c:idx val="2"/>
              <c:layout>
                <c:manualLayout>
                  <c:x val="1.6876453585573002E-3"/>
                  <c:y val="-1.5970617417362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C72-465F-9F76-695789DD2694}"/>
                </c:ext>
              </c:extLst>
            </c:dLbl>
            <c:dLbl>
              <c:idx val="3"/>
              <c:layout>
                <c:manualLayout>
                  <c:x val="0"/>
                  <c:y val="5.32353913912084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C72-465F-9F76-695789DD2694}"/>
                </c:ext>
              </c:extLst>
            </c:dLbl>
            <c:dLbl>
              <c:idx val="4"/>
              <c:layout>
                <c:manualLayout>
                  <c:x val="0"/>
                  <c:y val="1.5970617417362581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C72-465F-9F76-695789DD2694}"/>
                </c:ext>
              </c:extLst>
            </c:dLbl>
            <c:dLbl>
              <c:idx val="5"/>
              <c:layout>
                <c:manualLayout>
                  <c:x val="0"/>
                  <c:y val="-1.3308847847802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C72-465F-9F76-695789DD2694}"/>
                </c:ext>
              </c:extLst>
            </c:dLbl>
            <c:dLbl>
              <c:idx val="6"/>
              <c:layout>
                <c:manualLayout>
                  <c:x val="-6.7404972257811809E-3"/>
                  <c:y val="-6.12207000998897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C72-465F-9F76-695789DD2694}"/>
                </c:ext>
              </c:extLst>
            </c:dLbl>
            <c:dLbl>
              <c:idx val="8"/>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F-FC72-465F-9F76-695789DD2694}"/>
                </c:ext>
              </c:extLst>
            </c:dLbl>
            <c:dLbl>
              <c:idx val="9"/>
              <c:layout>
                <c:manualLayout>
                  <c:x val="-1.4783285191048314E-16"/>
                  <c:y val="-6.09029524692175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C72-465F-9F76-695789DD269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Вторичный!$H$46:$Q$46</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Вторичный!$H$55:$Q$55</c:f>
              <c:numCache>
                <c:formatCode>_-* #,##0_р_._-;\-* #,##0_р_._-;_-* "-"??_р_._-;_-@_-</c:formatCode>
                <c:ptCount val="10"/>
                <c:pt idx="0">
                  <c:v>862.69022311319122</c:v>
                </c:pt>
                <c:pt idx="1">
                  <c:v>1299.2012321381824</c:v>
                </c:pt>
                <c:pt idx="2">
                  <c:v>1714.3704906192825</c:v>
                </c:pt>
                <c:pt idx="3">
                  <c:v>1578.2878563829374</c:v>
                </c:pt>
                <c:pt idx="4">
                  <c:v>1018.0378083500203</c:v>
                </c:pt>
                <c:pt idx="5">
                  <c:v>1122.9743224081376</c:v>
                </c:pt>
                <c:pt idx="6">
                  <c:v>1511.3288058332032</c:v>
                </c:pt>
                <c:pt idx="7">
                  <c:v>1550.2311579476548</c:v>
                </c:pt>
                <c:pt idx="8">
                  <c:v>1154.1611539445973</c:v>
                </c:pt>
                <c:pt idx="9">
                  <c:v>1314.1667657667479</c:v>
                </c:pt>
              </c:numCache>
            </c:numRef>
          </c:val>
          <c:smooth val="0"/>
          <c:extLst>
            <c:ext xmlns:c16="http://schemas.microsoft.com/office/drawing/2014/chart" uri="{C3380CC4-5D6E-409C-BE32-E72D297353CC}">
              <c16:uniqueId val="{0000000D-FC72-465F-9F76-695789DD2694}"/>
            </c:ext>
          </c:extLst>
        </c:ser>
        <c:dLbls>
          <c:showLegendKey val="0"/>
          <c:showVal val="0"/>
          <c:showCatName val="0"/>
          <c:showSerName val="0"/>
          <c:showPercent val="0"/>
          <c:showBubbleSize val="0"/>
        </c:dLbls>
        <c:marker val="1"/>
        <c:smooth val="0"/>
        <c:axId val="449684512"/>
        <c:axId val="349672320"/>
      </c:lineChart>
      <c:catAx>
        <c:axId val="44968451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9672320"/>
        <c:crosses val="autoZero"/>
        <c:auto val="1"/>
        <c:lblAlgn val="ctr"/>
        <c:lblOffset val="100"/>
        <c:noMultiLvlLbl val="0"/>
      </c:catAx>
      <c:valAx>
        <c:axId val="349672320"/>
        <c:scaling>
          <c:orientation val="minMax"/>
          <c:max val="2000"/>
          <c:min val="-2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9684512"/>
        <c:crosses val="autoZero"/>
        <c:crossBetween val="between"/>
        <c:majorUnit val="200"/>
      </c:valAx>
      <c:spPr>
        <a:noFill/>
        <a:ln>
          <a:noFill/>
        </a:ln>
        <a:effectLst/>
      </c:spPr>
    </c:plotArea>
    <c:legend>
      <c:legendPos val="b"/>
      <c:layout>
        <c:manualLayout>
          <c:xMode val="edge"/>
          <c:yMode val="edge"/>
          <c:x val="0.17706546289052996"/>
          <c:y val="0.81404155369053977"/>
          <c:w val="0.66507921461775221"/>
          <c:h val="0.1701878378806288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45117269254693E-2"/>
          <c:y val="3.814827954228002E-2"/>
          <c:w val="0.88053415354840936"/>
          <c:h val="0.68245193984743657"/>
        </c:manualLayout>
      </c:layout>
      <c:areaChart>
        <c:grouping val="stacked"/>
        <c:varyColors val="0"/>
        <c:ser>
          <c:idx val="0"/>
          <c:order val="0"/>
          <c:tx>
            <c:strRef>
              <c:f>'ДП 10д '!$A$6</c:f>
              <c:strCache>
                <c:ptCount val="1"/>
                <c:pt idx="0">
                  <c:v>money transfers to residents of Uzbekistan</c:v>
                </c:pt>
              </c:strCache>
            </c:strRef>
          </c:tx>
          <c:spPr>
            <a:gradFill>
              <a:gsLst>
                <a:gs pos="100000">
                  <a:schemeClr val="accent1"/>
                </a:gs>
                <a:gs pos="0">
                  <a:schemeClr val="accent1">
                    <a:lumMod val="75000"/>
                  </a:schemeClr>
                </a:gs>
              </a:gsLst>
              <a:lin ang="0" scaled="1"/>
            </a:gradFill>
            <a:ln w="25400">
              <a:noFill/>
            </a:ln>
            <a:effectLst>
              <a:innerShdw dist="12700" dir="16200000">
                <a:schemeClr val="lt1">
                  <a:alpha val="75000"/>
                </a:schemeClr>
              </a:innerShdw>
            </a:effectLst>
          </c:spPr>
          <c:cat>
            <c:multiLvlStrRef>
              <c:f>'ДП 10д '!$X$4:$AG$5</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'ДП 10д '!$X$6:$AG$6</c:f>
              <c:numCache>
                <c:formatCode>#,##0_ ;\-#,##0\ </c:formatCode>
                <c:ptCount val="10"/>
                <c:pt idx="0">
                  <c:v>961.99120064999988</c:v>
                </c:pt>
                <c:pt idx="1">
                  <c:v>1457.8325513799998</c:v>
                </c:pt>
                <c:pt idx="2">
                  <c:v>1829.5085330099989</c:v>
                </c:pt>
                <c:pt idx="3">
                  <c:v>1523.8606943899997</c:v>
                </c:pt>
                <c:pt idx="4">
                  <c:v>1058.9348318100001</c:v>
                </c:pt>
                <c:pt idx="5">
                  <c:v>1336.9024860700001</c:v>
                </c:pt>
                <c:pt idx="6">
                  <c:v>1811.6085510000003</c:v>
                </c:pt>
                <c:pt idx="7">
                  <c:v>1725.5101991700001</c:v>
                </c:pt>
                <c:pt idx="8">
                  <c:v>1386.2176176600001</c:v>
                </c:pt>
                <c:pt idx="9">
                  <c:v>1884.2844517299998</c:v>
                </c:pt>
              </c:numCache>
            </c:numRef>
          </c:val>
          <c:extLst>
            <c:ext xmlns:c16="http://schemas.microsoft.com/office/drawing/2014/chart" uri="{C3380CC4-5D6E-409C-BE32-E72D297353CC}">
              <c16:uniqueId val="{00000000-13A4-4CDD-9762-8EE207E1D5C1}"/>
            </c:ext>
          </c:extLst>
        </c:ser>
        <c:ser>
          <c:idx val="1"/>
          <c:order val="1"/>
          <c:tx>
            <c:strRef>
              <c:f>'ДП 10д '!$A$7</c:f>
              <c:strCache>
                <c:ptCount val="1"/>
                <c:pt idx="0">
                  <c:v>imports of FX cash by residents of Uzbekistan</c:v>
                </c:pt>
              </c:strCache>
            </c:strRef>
          </c:tx>
          <c:spPr>
            <a:gradFill>
              <a:gsLst>
                <a:gs pos="100000">
                  <a:schemeClr val="accent2"/>
                </a:gs>
                <a:gs pos="0">
                  <a:schemeClr val="accent2">
                    <a:lumMod val="75000"/>
                  </a:schemeClr>
                </a:gs>
              </a:gsLst>
              <a:lin ang="0" scaled="1"/>
            </a:gradFill>
            <a:ln w="25400">
              <a:noFill/>
            </a:ln>
            <a:effectLst>
              <a:innerShdw dist="12700" dir="16200000">
                <a:schemeClr val="lt1">
                  <a:alpha val="75000"/>
                </a:schemeClr>
              </a:innerShdw>
            </a:effectLst>
          </c:spPr>
          <c:cat>
            <c:multiLvlStrRef>
              <c:f>'ДП 10д '!$X$4:$AG$5</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'ДП 10д '!$X$7:$AG$7</c:f>
              <c:numCache>
                <c:formatCode>#,##0_ ;\-#,##0\ </c:formatCode>
                <c:ptCount val="10"/>
                <c:pt idx="0">
                  <c:v>339.59628216422203</c:v>
                </c:pt>
                <c:pt idx="1">
                  <c:v>323.67993483904303</c:v>
                </c:pt>
                <c:pt idx="2">
                  <c:v>365.81723528311721</c:v>
                </c:pt>
                <c:pt idx="3">
                  <c:v>476.71543788981364</c:v>
                </c:pt>
                <c:pt idx="4">
                  <c:v>345.13068375095355</c:v>
                </c:pt>
                <c:pt idx="5">
                  <c:v>0</c:v>
                </c:pt>
                <c:pt idx="6">
                  <c:v>0</c:v>
                </c:pt>
                <c:pt idx="7">
                  <c:v>0</c:v>
                </c:pt>
                <c:pt idx="8">
                  <c:v>0</c:v>
                </c:pt>
                <c:pt idx="9">
                  <c:v>0</c:v>
                </c:pt>
              </c:numCache>
            </c:numRef>
          </c:val>
          <c:extLst>
            <c:ext xmlns:c16="http://schemas.microsoft.com/office/drawing/2014/chart" uri="{C3380CC4-5D6E-409C-BE32-E72D297353CC}">
              <c16:uniqueId val="{00000001-13A4-4CDD-9762-8EE207E1D5C1}"/>
            </c:ext>
          </c:extLst>
        </c:ser>
        <c:ser>
          <c:idx val="2"/>
          <c:order val="2"/>
          <c:tx>
            <c:strRef>
              <c:f>'ДП 10д '!$A$8</c:f>
              <c:strCache>
                <c:ptCount val="1"/>
                <c:pt idx="0">
                  <c:v>money transfers to residents of other countries</c:v>
                </c:pt>
              </c:strCache>
            </c:strRef>
          </c:tx>
          <c:spPr>
            <a:gradFill>
              <a:gsLst>
                <a:gs pos="100000">
                  <a:schemeClr val="accent3"/>
                </a:gs>
                <a:gs pos="0">
                  <a:schemeClr val="accent3">
                    <a:lumMod val="75000"/>
                  </a:schemeClr>
                </a:gs>
              </a:gsLst>
              <a:lin ang="0" scaled="1"/>
            </a:gradFill>
            <a:ln w="25400">
              <a:noFill/>
            </a:ln>
            <a:effectLst>
              <a:innerShdw dist="12700" dir="16200000">
                <a:schemeClr val="lt1">
                  <a:alpha val="75000"/>
                </a:schemeClr>
              </a:innerShdw>
            </a:effectLst>
          </c:spPr>
          <c:cat>
            <c:multiLvlStrRef>
              <c:f>'ДП 10д '!$X$4:$AG$5</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'ДП 10д '!$X$8:$AG$8</c:f>
              <c:numCache>
                <c:formatCode>#,##0_ ;\-#,##0\ </c:formatCode>
                <c:ptCount val="10"/>
                <c:pt idx="0">
                  <c:v>103.22876814999998</c:v>
                </c:pt>
                <c:pt idx="1">
                  <c:v>70.971862380000005</c:v>
                </c:pt>
                <c:pt idx="2">
                  <c:v>32.920138360000003</c:v>
                </c:pt>
                <c:pt idx="3">
                  <c:v>30.045669260000004</c:v>
                </c:pt>
                <c:pt idx="4">
                  <c:v>22.437623240000001</c:v>
                </c:pt>
                <c:pt idx="5">
                  <c:v>18.830138040000072</c:v>
                </c:pt>
                <c:pt idx="6">
                  <c:v>31.770658910000002</c:v>
                </c:pt>
                <c:pt idx="7">
                  <c:v>21.137073789999999</c:v>
                </c:pt>
                <c:pt idx="8">
                  <c:v>31.051641029999999</c:v>
                </c:pt>
                <c:pt idx="9">
                  <c:v>28.575980509999997</c:v>
                </c:pt>
              </c:numCache>
            </c:numRef>
          </c:val>
          <c:extLst>
            <c:ext xmlns:c16="http://schemas.microsoft.com/office/drawing/2014/chart" uri="{C3380CC4-5D6E-409C-BE32-E72D297353CC}">
              <c16:uniqueId val="{00000002-13A4-4CDD-9762-8EE207E1D5C1}"/>
            </c:ext>
          </c:extLst>
        </c:ser>
        <c:ser>
          <c:idx val="3"/>
          <c:order val="3"/>
          <c:tx>
            <c:strRef>
              <c:f>'ДП 10д '!$A$9</c:f>
              <c:strCache>
                <c:ptCount val="1"/>
                <c:pt idx="0">
                  <c:v>imports of FX cash by residents of other countries</c:v>
                </c:pt>
              </c:strCache>
            </c:strRef>
          </c:tx>
          <c:spPr>
            <a:gradFill>
              <a:gsLst>
                <a:gs pos="100000">
                  <a:schemeClr val="accent4"/>
                </a:gs>
                <a:gs pos="0">
                  <a:schemeClr val="accent4">
                    <a:lumMod val="75000"/>
                  </a:schemeClr>
                </a:gs>
              </a:gsLst>
              <a:lin ang="0" scaled="1"/>
            </a:gradFill>
            <a:ln w="25400">
              <a:noFill/>
            </a:ln>
            <a:effectLst>
              <a:innerShdw dist="12700" dir="16200000">
                <a:schemeClr val="lt1">
                  <a:alpha val="75000"/>
                </a:schemeClr>
              </a:innerShdw>
            </a:effectLst>
          </c:spPr>
          <c:cat>
            <c:multiLvlStrRef>
              <c:f>'ДП 10д '!$X$4:$AG$5</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'ДП 10д '!$X$9:$AG$9</c:f>
              <c:numCache>
                <c:formatCode>#,##0_ ;\-#,##0\ </c:formatCode>
                <c:ptCount val="10"/>
                <c:pt idx="0">
                  <c:v>529.30786316989202</c:v>
                </c:pt>
                <c:pt idx="1">
                  <c:v>328.20412361524393</c:v>
                </c:pt>
                <c:pt idx="2">
                  <c:v>279.66510272728925</c:v>
                </c:pt>
                <c:pt idx="3">
                  <c:v>710</c:v>
                </c:pt>
                <c:pt idx="4">
                  <c:v>537.93399493767265</c:v>
                </c:pt>
                <c:pt idx="5">
                  <c:v>0</c:v>
                </c:pt>
                <c:pt idx="6">
                  <c:v>0</c:v>
                </c:pt>
                <c:pt idx="7">
                  <c:v>0</c:v>
                </c:pt>
                <c:pt idx="8">
                  <c:v>0</c:v>
                </c:pt>
                <c:pt idx="9">
                  <c:v>0</c:v>
                </c:pt>
              </c:numCache>
            </c:numRef>
          </c:val>
          <c:extLst>
            <c:ext xmlns:c16="http://schemas.microsoft.com/office/drawing/2014/chart" uri="{C3380CC4-5D6E-409C-BE32-E72D297353CC}">
              <c16:uniqueId val="{00000003-13A4-4CDD-9762-8EE207E1D5C1}"/>
            </c:ext>
          </c:extLst>
        </c:ser>
        <c:dLbls>
          <c:showLegendKey val="0"/>
          <c:showVal val="0"/>
          <c:showCatName val="0"/>
          <c:showSerName val="0"/>
          <c:showPercent val="0"/>
          <c:showBubbleSize val="0"/>
        </c:dLbls>
        <c:axId val="397438608"/>
        <c:axId val="397439440"/>
      </c:areaChart>
      <c:catAx>
        <c:axId val="397438608"/>
        <c:scaling>
          <c:orientation val="minMax"/>
        </c:scaling>
        <c:delete val="0"/>
        <c:axPos val="b"/>
        <c:majorGridlines>
          <c:spPr>
            <a:ln w="9525" cap="flat" cmpd="sng" algn="ctr">
              <a:solidFill>
                <a:schemeClr val="bg1">
                  <a:lumMod val="75000"/>
                </a:schemeClr>
              </a:solidFill>
              <a:prstDash val="sysDot"/>
              <a:round/>
            </a:ln>
            <a:effectLst/>
          </c:spPr>
        </c:majorGridlines>
        <c:numFmt formatCode="General" sourceLinked="1"/>
        <c:majorTickMark val="none"/>
        <c:minorTickMark val="none"/>
        <c:tickLblPos val="nextTo"/>
        <c:spPr>
          <a:noFill/>
          <a:ln w="6350" cap="flat" cmpd="sng" algn="ctr">
            <a:solidFill>
              <a:schemeClr val="accent3"/>
            </a:solidFill>
            <a:prstDash val="solid"/>
            <a:miter lim="800000"/>
            <a:headEnd type="none" w="sm" len="sm"/>
            <a:tailEnd type="none" w="sm" len="sm"/>
          </a:ln>
          <a:effectLst/>
        </c:spPr>
        <c:txPr>
          <a:bodyPr rot="-600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ru-RU"/>
          </a:p>
        </c:txPr>
        <c:crossAx val="397439440"/>
        <c:crossesAt val="0"/>
        <c:auto val="1"/>
        <c:lblAlgn val="ctr"/>
        <c:lblOffset val="100"/>
        <c:noMultiLvlLbl val="0"/>
      </c:catAx>
      <c:valAx>
        <c:axId val="397439440"/>
        <c:scaling>
          <c:orientation val="minMax"/>
          <c:max val="3000"/>
          <c:min val="0"/>
        </c:scaling>
        <c:delete val="0"/>
        <c:axPos val="l"/>
        <c:majorGridlines>
          <c:spPr>
            <a:ln w="9525" cap="flat" cmpd="sng" algn="ctr">
              <a:solidFill>
                <a:schemeClr val="bg1">
                  <a:lumMod val="75000"/>
                </a:schemeClr>
              </a:solidFill>
              <a:prstDash val="sysDot"/>
              <a:round/>
            </a:ln>
            <a:effectLst>
              <a:glow>
                <a:schemeClr val="accent1">
                  <a:alpha val="40000"/>
                </a:schemeClr>
              </a:glow>
              <a:softEdge rad="0"/>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7438608"/>
        <c:crosses val="autoZero"/>
        <c:crossBetween val="midCat"/>
        <c:majorUnit val="500"/>
      </c:valAx>
      <c:spPr>
        <a:noFill/>
        <a:ln>
          <a:noFill/>
        </a:ln>
        <a:effectLst>
          <a:softEdge rad="0"/>
        </a:effectLst>
      </c:spPr>
    </c:plotArea>
    <c:legend>
      <c:legendPos val="b"/>
      <c:layout>
        <c:manualLayout>
          <c:xMode val="edge"/>
          <c:yMode val="edge"/>
          <c:x val="2.679629625785883E-3"/>
          <c:y val="0.84963417729598478"/>
          <c:w val="0.9948462083237144"/>
          <c:h val="0.13881273252019607"/>
        </c:manualLayout>
      </c:layout>
      <c:overlay val="0"/>
      <c:spPr>
        <a:noFill/>
        <a:ln>
          <a:noFill/>
        </a:ln>
        <a:effectLst/>
      </c:spPr>
      <c:txPr>
        <a:bodyPr rot="0" spcFirstLastPara="1" vertOverflow="ellipsis" vert="horz" wrap="square" anchor="b" anchorCtr="0"/>
        <a:lstStyle/>
        <a:p>
          <a:pPr>
            <a:defRPr sz="850" b="0" i="0" u="none" strike="noStrike" kern="1200" baseline="0">
              <a:ln>
                <a:noFill/>
              </a:ln>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a:outerShdw sx="1000" sy="1000" algn="ctr" rotWithShape="0">
        <a:schemeClr val="bg2">
          <a:lumMod val="90000"/>
        </a:schemeClr>
      </a:outerShdw>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Капитал!$F$1:$O$2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Капитал!$F$3:$O$3</c:f>
              <c:numCache>
                <c:formatCode>_-* #,##0.0_р_._-;\-* #,##0.0_р_._-;_-* "-"??_р_._-;_-@_-</c:formatCode>
                <c:ptCount val="10"/>
                <c:pt idx="0">
                  <c:v>135.118774</c:v>
                </c:pt>
                <c:pt idx="1">
                  <c:v>34.61</c:v>
                </c:pt>
                <c:pt idx="2">
                  <c:v>77.135728349999994</c:v>
                </c:pt>
                <c:pt idx="3">
                  <c:v>7.1321000000000003</c:v>
                </c:pt>
                <c:pt idx="4">
                  <c:v>0.15</c:v>
                </c:pt>
                <c:pt idx="5">
                  <c:v>15</c:v>
                </c:pt>
                <c:pt idx="6">
                  <c:v>10</c:v>
                </c:pt>
                <c:pt idx="7">
                  <c:v>0</c:v>
                </c:pt>
                <c:pt idx="8">
                  <c:v>0</c:v>
                </c:pt>
                <c:pt idx="9">
                  <c:v>0</c:v>
                </c:pt>
              </c:numCache>
            </c:numRef>
          </c:val>
          <c:extLst>
            <c:ext xmlns:c16="http://schemas.microsoft.com/office/drawing/2014/chart" uri="{C3380CC4-5D6E-409C-BE32-E72D297353CC}">
              <c16:uniqueId val="{00000000-00D1-40FD-A677-44D3BB31B7C1}"/>
            </c:ext>
          </c:extLst>
        </c:ser>
        <c:dLbls>
          <c:showLegendKey val="0"/>
          <c:showVal val="0"/>
          <c:showCatName val="0"/>
          <c:showSerName val="0"/>
          <c:showPercent val="0"/>
          <c:showBubbleSize val="0"/>
        </c:dLbls>
        <c:gapWidth val="219"/>
        <c:overlap val="-27"/>
        <c:axId val="1135000944"/>
        <c:axId val="1135004688"/>
      </c:barChart>
      <c:catAx>
        <c:axId val="113500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135004688"/>
        <c:crosses val="autoZero"/>
        <c:auto val="1"/>
        <c:lblAlgn val="ctr"/>
        <c:lblOffset val="100"/>
        <c:noMultiLvlLbl val="0"/>
      </c:catAx>
      <c:valAx>
        <c:axId val="113500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3500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5230049932167E-2"/>
          <c:y val="2.8741650354712468E-2"/>
          <c:w val="0.88828041756579224"/>
          <c:h val="0.73513040776582139"/>
        </c:manualLayout>
      </c:layout>
      <c:barChart>
        <c:barDir val="col"/>
        <c:grouping val="stacked"/>
        <c:varyColors val="0"/>
        <c:ser>
          <c:idx val="1"/>
          <c:order val="1"/>
          <c:tx>
            <c:strRef>
              <c:f>'прямые инвестиции (EN)'!$A$4</c:f>
              <c:strCache>
                <c:ptCount val="1"/>
                <c:pt idx="0">
                  <c:v>Net capital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'прямые инвестиции (EN)'!$O$1:$X$2</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'прямые инвестиции (EN)'!$O$4:$X$4</c:f>
              <c:numCache>
                <c:formatCode>_-* #,##0_р_._-;\-* #,##0_р_._-;_-* "-"??_р_._-;_-@_-</c:formatCode>
                <c:ptCount val="10"/>
                <c:pt idx="0">
                  <c:v>158.09505052245134</c:v>
                </c:pt>
                <c:pt idx="1">
                  <c:v>963.20222964671962</c:v>
                </c:pt>
                <c:pt idx="2">
                  <c:v>486.61945472797544</c:v>
                </c:pt>
                <c:pt idx="3">
                  <c:v>469.30421758114647</c:v>
                </c:pt>
                <c:pt idx="4">
                  <c:v>165.26775928537702</c:v>
                </c:pt>
                <c:pt idx="5">
                  <c:v>331.96191832858938</c:v>
                </c:pt>
                <c:pt idx="6">
                  <c:v>305.04376807567354</c:v>
                </c:pt>
                <c:pt idx="7">
                  <c:v>515.59443475016485</c:v>
                </c:pt>
                <c:pt idx="8">
                  <c:v>268.64413822028445</c:v>
                </c:pt>
                <c:pt idx="9">
                  <c:v>521.39319036939924</c:v>
                </c:pt>
              </c:numCache>
            </c:numRef>
          </c:val>
          <c:extLst>
            <c:ext xmlns:c16="http://schemas.microsoft.com/office/drawing/2014/chart" uri="{C3380CC4-5D6E-409C-BE32-E72D297353CC}">
              <c16:uniqueId val="{00000000-E1B8-4FBB-9261-8180E9BCB3F0}"/>
            </c:ext>
          </c:extLst>
        </c:ser>
        <c:ser>
          <c:idx val="2"/>
          <c:order val="2"/>
          <c:tx>
            <c:strRef>
              <c:f>'прямые инвестиции (EN)'!$A$5</c:f>
              <c:strCache>
                <c:ptCount val="1"/>
                <c:pt idx="0">
                  <c:v>Reinvested earnings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'прямые инвестиции (EN)'!$O$1:$X$2</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'прямые инвестиции (EN)'!$O$5:$X$5</c:f>
              <c:numCache>
                <c:formatCode>_-* #,##0_р_._-;\-* #,##0_р_._-;_-* "-"??_р_._-;_-@_-</c:formatCode>
                <c:ptCount val="10"/>
                <c:pt idx="0">
                  <c:v>166.14682527516345</c:v>
                </c:pt>
                <c:pt idx="1">
                  <c:v>123.6776572293432</c:v>
                </c:pt>
                <c:pt idx="2">
                  <c:v>139.45120048187087</c:v>
                </c:pt>
                <c:pt idx="3">
                  <c:v>282.85064460985109</c:v>
                </c:pt>
                <c:pt idx="4">
                  <c:v>119.24250022195689</c:v>
                </c:pt>
                <c:pt idx="5">
                  <c:v>79.266747885744934</c:v>
                </c:pt>
                <c:pt idx="6">
                  <c:v>116.54654254077693</c:v>
                </c:pt>
                <c:pt idx="7">
                  <c:v>104.05892383630645</c:v>
                </c:pt>
                <c:pt idx="8">
                  <c:v>65.602356469600011</c:v>
                </c:pt>
                <c:pt idx="9">
                  <c:v>216.88686891281156</c:v>
                </c:pt>
              </c:numCache>
            </c:numRef>
          </c:val>
          <c:extLst>
            <c:ext xmlns:c16="http://schemas.microsoft.com/office/drawing/2014/chart" uri="{C3380CC4-5D6E-409C-BE32-E72D297353CC}">
              <c16:uniqueId val="{00000001-E1B8-4FBB-9261-8180E9BCB3F0}"/>
            </c:ext>
          </c:extLst>
        </c:ser>
        <c:ser>
          <c:idx val="3"/>
          <c:order val="3"/>
          <c:tx>
            <c:strRef>
              <c:f>'прямые инвестиции (EN)'!$A$6</c:f>
              <c:strCache>
                <c:ptCount val="1"/>
                <c:pt idx="0">
                  <c:v>Debt instruments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'прямые инвестиции (EN)'!$O$1:$X$2</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'прямые инвестиции (EN)'!$O$6:$X$6</c:f>
              <c:numCache>
                <c:formatCode>_-* #,##0_р_._-;\-* #,##0_р_._-;_-* "-"??_р_._-;_-@_-</c:formatCode>
                <c:ptCount val="10"/>
                <c:pt idx="0">
                  <c:v>17.49982682389151</c:v>
                </c:pt>
                <c:pt idx="1">
                  <c:v>48.823857625624697</c:v>
                </c:pt>
                <c:pt idx="2">
                  <c:v>55.030650858103691</c:v>
                </c:pt>
                <c:pt idx="3">
                  <c:v>47.352623634068863</c:v>
                </c:pt>
                <c:pt idx="4">
                  <c:v>65.051680136317984</c:v>
                </c:pt>
                <c:pt idx="5">
                  <c:v>36.787620883523694</c:v>
                </c:pt>
                <c:pt idx="6">
                  <c:v>27.908746781216646</c:v>
                </c:pt>
                <c:pt idx="7">
                  <c:v>23.491208497891037</c:v>
                </c:pt>
                <c:pt idx="8">
                  <c:v>46.789189754050589</c:v>
                </c:pt>
                <c:pt idx="9">
                  <c:v>148.35866941194601</c:v>
                </c:pt>
              </c:numCache>
            </c:numRef>
          </c:val>
          <c:extLst>
            <c:ext xmlns:c16="http://schemas.microsoft.com/office/drawing/2014/chart" uri="{C3380CC4-5D6E-409C-BE32-E72D297353CC}">
              <c16:uniqueId val="{00000002-E1B8-4FBB-9261-8180E9BCB3F0}"/>
            </c:ext>
          </c:extLst>
        </c:ser>
        <c:ser>
          <c:idx val="4"/>
          <c:order val="4"/>
          <c:tx>
            <c:strRef>
              <c:f>'прямые инвестиции (EN)'!$A$7</c:f>
              <c:strCache>
                <c:ptCount val="1"/>
                <c:pt idx="0">
                  <c:v>Net receipts under PSA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'прямые инвестиции (EN)'!$O$1:$X$2</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'прямые инвестиции (EN)'!$O$7:$X$7</c:f>
              <c:numCache>
                <c:formatCode>_-* #,##0_р_._-;\-* #,##0_р_._-;_-* "-"??_р_._-;_-@_-</c:formatCode>
                <c:ptCount val="10"/>
                <c:pt idx="0">
                  <c:v>-120.48472498000001</c:v>
                </c:pt>
                <c:pt idx="1">
                  <c:v>-303.55537082999996</c:v>
                </c:pt>
                <c:pt idx="2">
                  <c:v>-232.22087512000002</c:v>
                </c:pt>
                <c:pt idx="3">
                  <c:v>14.689694200000019</c:v>
                </c:pt>
                <c:pt idx="4">
                  <c:v>-104.91673188999999</c:v>
                </c:pt>
                <c:pt idx="5">
                  <c:v>0.30082623000001263</c:v>
                </c:pt>
                <c:pt idx="6">
                  <c:v>-80.199999999999989</c:v>
                </c:pt>
                <c:pt idx="7">
                  <c:v>25.899999999999991</c:v>
                </c:pt>
                <c:pt idx="8">
                  <c:v>-129.65179731000001</c:v>
                </c:pt>
                <c:pt idx="9">
                  <c:v>-14.777503150438434</c:v>
                </c:pt>
              </c:numCache>
            </c:numRef>
          </c:val>
          <c:extLst>
            <c:ext xmlns:c16="http://schemas.microsoft.com/office/drawing/2014/chart" uri="{C3380CC4-5D6E-409C-BE32-E72D297353CC}">
              <c16:uniqueId val="{00000003-E1B8-4FBB-9261-8180E9BCB3F0}"/>
            </c:ext>
          </c:extLst>
        </c:ser>
        <c:dLbls>
          <c:showLegendKey val="0"/>
          <c:showVal val="0"/>
          <c:showCatName val="0"/>
          <c:showSerName val="0"/>
          <c:showPercent val="0"/>
          <c:showBubbleSize val="0"/>
        </c:dLbls>
        <c:gapWidth val="150"/>
        <c:overlap val="100"/>
        <c:axId val="55424512"/>
        <c:axId val="55426048"/>
      </c:barChart>
      <c:lineChart>
        <c:grouping val="standard"/>
        <c:varyColors val="0"/>
        <c:ser>
          <c:idx val="0"/>
          <c:order val="0"/>
          <c:tx>
            <c:strRef>
              <c:f>'прямые инвестиции (EN)'!$A$3</c:f>
              <c:strCache>
                <c:ptCount val="1"/>
                <c:pt idx="0">
                  <c:v>Direct investment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3.0816502843415863E-3"/>
                  <c:y val="-2.3837447497881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1B8-4FBB-9261-8180E9BCB3F0}"/>
                </c:ext>
              </c:extLst>
            </c:dLbl>
            <c:dLbl>
              <c:idx val="1"/>
              <c:layout>
                <c:manualLayout>
                  <c:x val="-1.4916450336990939E-3"/>
                  <c:y val="-1.14253680230430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1B8-4FBB-9261-8180E9BCB3F0}"/>
                </c:ext>
              </c:extLst>
            </c:dLbl>
            <c:dLbl>
              <c:idx val="2"/>
              <c:layout>
                <c:manualLayout>
                  <c:x val="-3.1117950271828919E-3"/>
                  <c:y val="-3.978120338140228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1B8-4FBB-9261-8180E9BCB3F0}"/>
                </c:ext>
              </c:extLst>
            </c:dLbl>
            <c:dLbl>
              <c:idx val="3"/>
              <c:layout>
                <c:manualLayout>
                  <c:x val="-2.2883627909406214E-2"/>
                  <c:y val="-3.12846951827840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1B8-4FBB-9261-8180E9BCB3F0}"/>
                </c:ext>
              </c:extLst>
            </c:dLbl>
            <c:dLbl>
              <c:idx val="4"/>
              <c:layout>
                <c:manualLayout>
                  <c:x val="-6.0237511988057481E-4"/>
                  <c:y val="4.710335294246333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1B8-4FBB-9261-8180E9BCB3F0}"/>
                </c:ext>
              </c:extLst>
            </c:dLbl>
            <c:dLbl>
              <c:idx val="5"/>
              <c:layout>
                <c:manualLayout>
                  <c:x val="-2.2525399219692939E-3"/>
                  <c:y val="9.675167084181654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1B8-4FBB-9261-8180E9BCB3F0}"/>
                </c:ext>
              </c:extLst>
            </c:dLbl>
            <c:dLbl>
              <c:idx val="6"/>
              <c:layout>
                <c:manualLayout>
                  <c:x val="-6.023751198806958E-4"/>
                  <c:y val="2.227919399278718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1B8-4FBB-9261-8180E9BCB3F0}"/>
                </c:ext>
              </c:extLst>
            </c:dLbl>
            <c:dLbl>
              <c:idx val="7"/>
              <c:layout>
                <c:manualLayout>
                  <c:x val="-2.2054517547033921E-2"/>
                  <c:y val="-2.7561071340332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1B8-4FBB-9261-8180E9BCB3F0}"/>
                </c:ext>
              </c:extLst>
            </c:dLbl>
            <c:dLbl>
              <c:idx val="8"/>
              <c:layout>
                <c:manualLayout>
                  <c:x val="2.6979544842966208E-3"/>
                  <c:y val="-2.01138236554297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1B8-4FBB-9261-8180E9BCB3F0}"/>
                </c:ext>
              </c:extLst>
            </c:dLbl>
            <c:dLbl>
              <c:idx val="9"/>
              <c:layout>
                <c:manualLayout>
                  <c:x val="-1.7104023140767761E-2"/>
                  <c:y val="-3.0043487235300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1B8-4FBB-9261-8180E9BCB3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'прямые инвестиции (EN)'!$O$1:$X$2</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'прямые инвестиции (EN)'!$O$3:$X$3</c:f>
              <c:numCache>
                <c:formatCode>_-* #,##0_р_._-;\-* #,##0_р_._-;_-* "-"??_р_._-;_-@_-</c:formatCode>
                <c:ptCount val="10"/>
                <c:pt idx="0">
                  <c:v>221.2569776415063</c:v>
                </c:pt>
                <c:pt idx="1">
                  <c:v>832.14837367168752</c:v>
                </c:pt>
                <c:pt idx="2">
                  <c:v>448.88043094795006</c:v>
                </c:pt>
                <c:pt idx="3">
                  <c:v>814.19718002506647</c:v>
                </c:pt>
                <c:pt idx="4">
                  <c:v>244.6452077536519</c:v>
                </c:pt>
                <c:pt idx="5">
                  <c:v>448.31711332785801</c:v>
                </c:pt>
                <c:pt idx="6">
                  <c:v>369.29905739766707</c:v>
                </c:pt>
                <c:pt idx="7">
                  <c:v>669.04456708436237</c:v>
                </c:pt>
                <c:pt idx="8">
                  <c:v>251.38388713393505</c:v>
                </c:pt>
                <c:pt idx="9">
                  <c:v>871.86122554371843</c:v>
                </c:pt>
              </c:numCache>
            </c:numRef>
          </c:val>
          <c:smooth val="0"/>
          <c:extLst>
            <c:ext xmlns:c16="http://schemas.microsoft.com/office/drawing/2014/chart" uri="{C3380CC4-5D6E-409C-BE32-E72D297353CC}">
              <c16:uniqueId val="{0000000E-E1B8-4FBB-9261-8180E9BCB3F0}"/>
            </c:ext>
          </c:extLst>
        </c:ser>
        <c:dLbls>
          <c:showLegendKey val="0"/>
          <c:showVal val="0"/>
          <c:showCatName val="0"/>
          <c:showSerName val="0"/>
          <c:showPercent val="0"/>
          <c:showBubbleSize val="0"/>
        </c:dLbls>
        <c:marker val="1"/>
        <c:smooth val="0"/>
        <c:axId val="55424512"/>
        <c:axId val="55426048"/>
      </c:lineChart>
      <c:catAx>
        <c:axId val="55424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6048"/>
        <c:crosses val="autoZero"/>
        <c:auto val="1"/>
        <c:lblAlgn val="ctr"/>
        <c:lblOffset val="100"/>
        <c:noMultiLvlLbl val="0"/>
      </c:catAx>
      <c:valAx>
        <c:axId val="55426048"/>
        <c:scaling>
          <c:orientation val="minMax"/>
          <c:max val="12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4512"/>
        <c:crosses val="autoZero"/>
        <c:crossBetween val="between"/>
        <c:majorUnit val="200"/>
      </c:valAx>
      <c:spPr>
        <a:noFill/>
        <a:ln>
          <a:noFill/>
        </a:ln>
        <a:effectLst/>
      </c:spPr>
    </c:plotArea>
    <c:legend>
      <c:legendPos val="b"/>
      <c:layout>
        <c:manualLayout>
          <c:xMode val="edge"/>
          <c:yMode val="edge"/>
          <c:x val="2.4548304487455472E-2"/>
          <c:y val="0.8990505052400477"/>
          <c:w val="0.95090339102508892"/>
          <c:h val="8.605499939014664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83946241215441E-2"/>
          <c:y val="3.6620876153806631E-2"/>
          <c:w val="0.91176846235993658"/>
          <c:h val="0.70779319507052074"/>
        </c:manualLayout>
      </c:layout>
      <c:barChart>
        <c:barDir val="col"/>
        <c:grouping val="stacked"/>
        <c:varyColors val="0"/>
        <c:ser>
          <c:idx val="0"/>
          <c:order val="0"/>
          <c:tx>
            <c:strRef>
              <c:f>'валюта и депозиты (EN)'!$A$4</c:f>
              <c:strCache>
                <c:ptCount val="1"/>
                <c:pt idx="0">
                  <c:v>Currency and deposits of banking sector</c:v>
                </c:pt>
              </c:strCache>
            </c:strRef>
          </c:tx>
          <c:spPr>
            <a:solidFill>
              <a:schemeClr val="accent6"/>
            </a:solidFill>
            <a:ln>
              <a:noFill/>
            </a:ln>
            <a:effectLst/>
          </c:spPr>
          <c:invertIfNegative val="0"/>
          <c:cat>
            <c:multiLvlStrRef>
              <c:f>'валюта и депозиты (EN)'!$N$2:$W$3</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'валюта и депозиты (EN)'!$N$4:$W$4</c:f>
              <c:numCache>
                <c:formatCode>0_ ;\-0\ </c:formatCode>
                <c:ptCount val="10"/>
                <c:pt idx="0">
                  <c:v>-44.318900077532646</c:v>
                </c:pt>
                <c:pt idx="1">
                  <c:v>-611.72429865522565</c:v>
                </c:pt>
                <c:pt idx="2">
                  <c:v>-426.68405050939839</c:v>
                </c:pt>
                <c:pt idx="3">
                  <c:v>23.333226036504257</c:v>
                </c:pt>
                <c:pt idx="4">
                  <c:v>79.332029138606657</c:v>
                </c:pt>
                <c:pt idx="5">
                  <c:v>-197.46241073052977</c:v>
                </c:pt>
                <c:pt idx="6">
                  <c:v>-246.34768190990522</c:v>
                </c:pt>
                <c:pt idx="7" formatCode="0">
                  <c:v>981.71829919717732</c:v>
                </c:pt>
                <c:pt idx="8">
                  <c:v>-117.92092395842084</c:v>
                </c:pt>
                <c:pt idx="9">
                  <c:v>-212.15407198754664</c:v>
                </c:pt>
              </c:numCache>
            </c:numRef>
          </c:val>
          <c:extLst>
            <c:ext xmlns:c16="http://schemas.microsoft.com/office/drawing/2014/chart" uri="{C3380CC4-5D6E-409C-BE32-E72D297353CC}">
              <c16:uniqueId val="{00000000-94FC-4E3C-A571-075D5C94E585}"/>
            </c:ext>
          </c:extLst>
        </c:ser>
        <c:ser>
          <c:idx val="1"/>
          <c:order val="1"/>
          <c:tx>
            <c:strRef>
              <c:f>'валюта и депозиты (EN)'!$A$5</c:f>
              <c:strCache>
                <c:ptCount val="1"/>
                <c:pt idx="0">
                  <c:v>Currency and deposits of population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'валюта и депозиты (EN)'!$N$2:$W$3</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'валюта и депозиты (EN)'!$N$5:$W$5</c:f>
              <c:numCache>
                <c:formatCode>0_ ;\-0\ </c:formatCode>
                <c:ptCount val="10"/>
                <c:pt idx="0">
                  <c:v>260.42463410704795</c:v>
                </c:pt>
                <c:pt idx="1">
                  <c:v>413.60168746999295</c:v>
                </c:pt>
                <c:pt idx="2">
                  <c:v>242.01912774320201</c:v>
                </c:pt>
                <c:pt idx="3">
                  <c:v>580.66131601923598</c:v>
                </c:pt>
                <c:pt idx="4">
                  <c:v>164.08644256285299</c:v>
                </c:pt>
                <c:pt idx="5">
                  <c:v>581.42262503684606</c:v>
                </c:pt>
                <c:pt idx="6">
                  <c:v>1120.56947988716</c:v>
                </c:pt>
                <c:pt idx="7" formatCode="0">
                  <c:v>803.25954336636198</c:v>
                </c:pt>
                <c:pt idx="8">
                  <c:v>279.40572758446297</c:v>
                </c:pt>
                <c:pt idx="9">
                  <c:v>466.76156539627198</c:v>
                </c:pt>
              </c:numCache>
            </c:numRef>
          </c:val>
          <c:extLst>
            <c:ext xmlns:c16="http://schemas.microsoft.com/office/drawing/2014/chart" uri="{C3380CC4-5D6E-409C-BE32-E72D297353CC}">
              <c16:uniqueId val="{00000001-94FC-4E3C-A571-075D5C94E585}"/>
            </c:ext>
          </c:extLst>
        </c:ser>
        <c:ser>
          <c:idx val="2"/>
          <c:order val="2"/>
          <c:tx>
            <c:strRef>
              <c:f>'валюта и депозиты (EN)'!$A$6</c:f>
              <c:strCache>
                <c:ptCount val="1"/>
                <c:pt idx="0">
                  <c:v>Currency and deposits of companies</c:v>
                </c:pt>
              </c:strCache>
            </c:strRef>
          </c:tx>
          <c:spPr>
            <a:solidFill>
              <a:srgbClr val="FFC301"/>
            </a:solidFill>
            <a:ln>
              <a:noFill/>
            </a:ln>
            <a:effectLst/>
          </c:spPr>
          <c:invertIfNegative val="0"/>
          <c:cat>
            <c:multiLvlStrRef>
              <c:f>'валюта и депозиты (EN)'!$N$2:$W$3</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'валюта и депозиты (EN)'!$N$6:$W$6</c:f>
              <c:numCache>
                <c:formatCode>0_ ;\-0\ </c:formatCode>
                <c:ptCount val="10"/>
                <c:pt idx="0">
                  <c:v>71.140293747123792</c:v>
                </c:pt>
                <c:pt idx="1">
                  <c:v>-103.84235300569381</c:v>
                </c:pt>
                <c:pt idx="2">
                  <c:v>224.5838836241962</c:v>
                </c:pt>
                <c:pt idx="3">
                  <c:v>-20.989768770846318</c:v>
                </c:pt>
                <c:pt idx="4">
                  <c:v>153.12016805442499</c:v>
                </c:pt>
                <c:pt idx="5">
                  <c:v>-157.41853142681967</c:v>
                </c:pt>
                <c:pt idx="6">
                  <c:v>24.143835443959233</c:v>
                </c:pt>
                <c:pt idx="7" formatCode="0">
                  <c:v>-134.70702316942732</c:v>
                </c:pt>
                <c:pt idx="8">
                  <c:v>116.155395006125</c:v>
                </c:pt>
                <c:pt idx="9">
                  <c:v>-14.5031161414071</c:v>
                </c:pt>
              </c:numCache>
            </c:numRef>
          </c:val>
          <c:extLst>
            <c:ext xmlns:c16="http://schemas.microsoft.com/office/drawing/2014/chart" uri="{C3380CC4-5D6E-409C-BE32-E72D297353CC}">
              <c16:uniqueId val="{00000002-94FC-4E3C-A571-075D5C94E585}"/>
            </c:ext>
          </c:extLst>
        </c:ser>
        <c:dLbls>
          <c:showLegendKey val="0"/>
          <c:showVal val="0"/>
          <c:showCatName val="0"/>
          <c:showSerName val="0"/>
          <c:showPercent val="0"/>
          <c:showBubbleSize val="0"/>
        </c:dLbls>
        <c:gapWidth val="150"/>
        <c:overlap val="100"/>
        <c:axId val="841667632"/>
        <c:axId val="841678032"/>
      </c:barChart>
      <c:lineChart>
        <c:grouping val="standard"/>
        <c:varyColors val="0"/>
        <c:ser>
          <c:idx val="3"/>
          <c:order val="3"/>
          <c:tx>
            <c:strRef>
              <c:f>'валюта и депозиты (EN)'!$A$7</c:f>
              <c:strCache>
                <c:ptCount val="1"/>
                <c:pt idx="0">
                  <c:v>Net changes in currency and deposits, total</c:v>
                </c:pt>
              </c:strCache>
            </c:strRef>
          </c:tx>
          <c:spPr>
            <a:ln w="22225" cap="rnd">
              <a:solidFill>
                <a:schemeClr val="accent1"/>
              </a:solidFill>
              <a:round/>
            </a:ln>
            <a:effectLst/>
          </c:spPr>
          <c:marker>
            <c:symbol val="circle"/>
            <c:size val="7"/>
            <c:spPr>
              <a:solidFill>
                <a:schemeClr val="accent1"/>
              </a:solidFill>
              <a:ln w="12700">
                <a:solidFill>
                  <a:schemeClr val="bg1"/>
                </a:solidFill>
                <a:round/>
              </a:ln>
              <a:effectLst/>
            </c:spPr>
          </c:marker>
          <c:dLbls>
            <c:dLbl>
              <c:idx val="0"/>
              <c:layout>
                <c:manualLayout>
                  <c:x val="-2.7359781121751026E-2"/>
                  <c:y val="-3.7691387666309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4FC-4E3C-A571-075D5C94E585}"/>
                </c:ext>
              </c:extLst>
            </c:dLbl>
            <c:dLbl>
              <c:idx val="1"/>
              <c:layout>
                <c:manualLayout>
                  <c:x val="7.29594163246694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4FC-4E3C-A571-075D5C94E585}"/>
                </c:ext>
              </c:extLst>
            </c:dLbl>
            <c:dLbl>
              <c:idx val="2"/>
              <c:layout>
                <c:manualLayout>
                  <c:x val="7.2959416324669402E-3"/>
                  <c:y val="-5.7583399281852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4FC-4E3C-A571-075D5C94E585}"/>
                </c:ext>
              </c:extLst>
            </c:dLbl>
            <c:dLbl>
              <c:idx val="3"/>
              <c:layout>
                <c:manualLayout>
                  <c:x val="-1.6415868673050681E-2"/>
                  <c:y val="-3.7691387666309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4FC-4E3C-A571-075D5C94E585}"/>
                </c:ext>
              </c:extLst>
            </c:dLbl>
            <c:dLbl>
              <c:idx val="4"/>
              <c:layout>
                <c:manualLayout>
                  <c:x val="-1.6415868673050681E-2"/>
                  <c:y val="-3.7691387666309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4FC-4E3C-A571-075D5C94E585}"/>
                </c:ext>
              </c:extLst>
            </c:dLbl>
            <c:dLbl>
              <c:idx val="5"/>
              <c:layout>
                <c:manualLayout>
                  <c:x val="9.119927040583675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4FC-4E3C-A571-075D5C94E585}"/>
                </c:ext>
              </c:extLst>
            </c:dLbl>
            <c:dLbl>
              <c:idx val="6"/>
              <c:layout>
                <c:manualLayout>
                  <c:x val="5.4719562243500715E-3"/>
                  <c:y val="-1.25637958887698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4FC-4E3C-A571-075D5C94E585}"/>
                </c:ext>
              </c:extLst>
            </c:dLbl>
            <c:dLbl>
              <c:idx val="8"/>
              <c:layout>
                <c:manualLayout>
                  <c:x val="7.2959416324669402E-3"/>
                  <c:y val="-2.1986642805347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4FC-4E3C-A571-075D5C94E585}"/>
                </c:ext>
              </c:extLst>
            </c:dLbl>
            <c:dLbl>
              <c:idx val="9"/>
              <c:layout>
                <c:manualLayout>
                  <c:x val="5.471956224350205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4FC-4E3C-A571-075D5C94E5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'валюта и депозиты (EN)'!$N$2:$W$3</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'валюта и депозиты (EN)'!$N$7:$W$7</c:f>
              <c:numCache>
                <c:formatCode>0_ ;\-0\ </c:formatCode>
                <c:ptCount val="10"/>
                <c:pt idx="0">
                  <c:v>287.2460277766391</c:v>
                </c:pt>
                <c:pt idx="1">
                  <c:v>-301.96496419092648</c:v>
                </c:pt>
                <c:pt idx="2">
                  <c:v>39.918960857999821</c:v>
                </c:pt>
                <c:pt idx="3">
                  <c:v>583.00477328489387</c:v>
                </c:pt>
                <c:pt idx="4">
                  <c:v>396.53863975588467</c:v>
                </c:pt>
                <c:pt idx="5">
                  <c:v>226.54168287949662</c:v>
                </c:pt>
                <c:pt idx="6">
                  <c:v>898.36563342121406</c:v>
                </c:pt>
                <c:pt idx="7" formatCode="_-* #,##0_р_._-;\-* #,##0_р_._-;_-* &quot;-&quot;??_р_._-;_-@_-">
                  <c:v>1650.2708193941121</c:v>
                </c:pt>
                <c:pt idx="8">
                  <c:v>277.64019863216714</c:v>
                </c:pt>
                <c:pt idx="9">
                  <c:v>240.10437726731823</c:v>
                </c:pt>
              </c:numCache>
            </c:numRef>
          </c:val>
          <c:smooth val="0"/>
          <c:extLst>
            <c:ext xmlns:c16="http://schemas.microsoft.com/office/drawing/2014/chart" uri="{C3380CC4-5D6E-409C-BE32-E72D297353CC}">
              <c16:uniqueId val="{0000000C-94FC-4E3C-A571-075D5C94E585}"/>
            </c:ext>
          </c:extLst>
        </c:ser>
        <c:dLbls>
          <c:showLegendKey val="0"/>
          <c:showVal val="0"/>
          <c:showCatName val="0"/>
          <c:showSerName val="0"/>
          <c:showPercent val="0"/>
          <c:showBubbleSize val="0"/>
        </c:dLbls>
        <c:marker val="1"/>
        <c:smooth val="0"/>
        <c:axId val="1110372783"/>
        <c:axId val="1110370287"/>
      </c:lineChart>
      <c:catAx>
        <c:axId val="84166763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41678032"/>
        <c:crosses val="autoZero"/>
        <c:auto val="1"/>
        <c:lblAlgn val="ctr"/>
        <c:lblOffset val="100"/>
        <c:noMultiLvlLbl val="0"/>
      </c:catAx>
      <c:valAx>
        <c:axId val="841678032"/>
        <c:scaling>
          <c:orientation val="minMax"/>
          <c:max val="1900"/>
          <c:min val="-900"/>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41667632"/>
        <c:crosses val="autoZero"/>
        <c:crossBetween val="between"/>
        <c:majorUnit val="200"/>
      </c:valAx>
      <c:valAx>
        <c:axId val="1110370287"/>
        <c:scaling>
          <c:orientation val="minMax"/>
        </c:scaling>
        <c:delete val="1"/>
        <c:axPos val="r"/>
        <c:numFmt formatCode="0_ ;\-0\ " sourceLinked="1"/>
        <c:majorTickMark val="out"/>
        <c:minorTickMark val="none"/>
        <c:tickLblPos val="nextTo"/>
        <c:crossAx val="1110372783"/>
        <c:crosses val="max"/>
        <c:crossBetween val="between"/>
      </c:valAx>
      <c:catAx>
        <c:axId val="1110372783"/>
        <c:scaling>
          <c:orientation val="minMax"/>
        </c:scaling>
        <c:delete val="1"/>
        <c:axPos val="b"/>
        <c:numFmt formatCode="General" sourceLinked="1"/>
        <c:majorTickMark val="out"/>
        <c:minorTickMark val="none"/>
        <c:tickLblPos val="nextTo"/>
        <c:crossAx val="1110370287"/>
        <c:crosses val="autoZero"/>
        <c:auto val="1"/>
        <c:lblAlgn val="ctr"/>
        <c:lblOffset val="100"/>
        <c:noMultiLvlLbl val="0"/>
      </c:catAx>
      <c:spPr>
        <a:noFill/>
        <a:ln>
          <a:noFill/>
        </a:ln>
        <a:effectLst/>
      </c:spPr>
    </c:plotArea>
    <c:legend>
      <c:legendPos val="b"/>
      <c:layout>
        <c:manualLayout>
          <c:xMode val="edge"/>
          <c:yMode val="edge"/>
          <c:x val="7.6842925414076987E-2"/>
          <c:y val="0.87985795985718818"/>
          <c:w val="0.83901806391848088"/>
          <c:h val="0.10129634630965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'кредиты (EN)'!$A$4</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'кредиты (EN)'!$N$1:$W$2</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'кредиты (EN)'!$N$4:$W$4</c:f>
              <c:numCache>
                <c:formatCode>_-* #,##0_р_._-;\-* #,##0_р_._-;_-* "-"??_р_._-;_-@_-</c:formatCode>
                <c:ptCount val="10"/>
                <c:pt idx="0">
                  <c:v>759.23421664361388</c:v>
                </c:pt>
                <c:pt idx="1">
                  <c:v>367.61749720560039</c:v>
                </c:pt>
                <c:pt idx="2">
                  <c:v>475.14462505450365</c:v>
                </c:pt>
                <c:pt idx="3">
                  <c:v>1240.4134822728433</c:v>
                </c:pt>
                <c:pt idx="4">
                  <c:v>167.10617176170544</c:v>
                </c:pt>
                <c:pt idx="5">
                  <c:v>802.57256917974041</c:v>
                </c:pt>
                <c:pt idx="6">
                  <c:v>892.65395811305768</c:v>
                </c:pt>
                <c:pt idx="7">
                  <c:v>1431.4607495654</c:v>
                </c:pt>
                <c:pt idx="8">
                  <c:v>50.98999680791875</c:v>
                </c:pt>
                <c:pt idx="9">
                  <c:v>416.59862518592183</c:v>
                </c:pt>
              </c:numCache>
            </c:numRef>
          </c:val>
          <c:extLst>
            <c:ext xmlns:c16="http://schemas.microsoft.com/office/drawing/2014/chart" uri="{C3380CC4-5D6E-409C-BE32-E72D297353CC}">
              <c16:uniqueId val="{00000000-7ABC-4BA5-9965-24B3C6938097}"/>
            </c:ext>
          </c:extLst>
        </c:ser>
        <c:ser>
          <c:idx val="2"/>
          <c:order val="2"/>
          <c:tx>
            <c:strRef>
              <c:f>'кредиты (EN)'!$A$5</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'кредиты (EN)'!$N$1:$W$2</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'кредиты (EN)'!$N$5:$W$5</c:f>
              <c:numCache>
                <c:formatCode>_-* #,##0_р_._-;\-* #,##0_р_._-;_-* "-"??_р_._-;_-@_-</c:formatCode>
                <c:ptCount val="10"/>
                <c:pt idx="0">
                  <c:v>322.36160569370014</c:v>
                </c:pt>
                <c:pt idx="1">
                  <c:v>137.8577571029335</c:v>
                </c:pt>
                <c:pt idx="2" formatCode="_-* #,##0.0_р_._-;\-* #,##0.0_р_._-;_-* &quot;-&quot;??_р_._-;_-@_-">
                  <c:v>421.27418441640714</c:v>
                </c:pt>
                <c:pt idx="3">
                  <c:v>846.56227097938893</c:v>
                </c:pt>
                <c:pt idx="4">
                  <c:v>769.62300534348788</c:v>
                </c:pt>
                <c:pt idx="5">
                  <c:v>758.46954362303973</c:v>
                </c:pt>
                <c:pt idx="6" formatCode="_-* #,##0.0_р_._-;\-* #,##0.0_р_._-;_-* &quot;-&quot;??_р_._-;_-@_-">
                  <c:v>335.49210578712564</c:v>
                </c:pt>
                <c:pt idx="7">
                  <c:v>678.1404325033551</c:v>
                </c:pt>
                <c:pt idx="8">
                  <c:v>514.26360541158897</c:v>
                </c:pt>
                <c:pt idx="9">
                  <c:v>171.31816349331334</c:v>
                </c:pt>
              </c:numCache>
            </c:numRef>
          </c:val>
          <c:extLst>
            <c:ext xmlns:c16="http://schemas.microsoft.com/office/drawing/2014/chart" uri="{C3380CC4-5D6E-409C-BE32-E72D297353CC}">
              <c16:uniqueId val="{00000001-7ABC-4BA5-9965-24B3C6938097}"/>
            </c:ext>
          </c:extLst>
        </c:ser>
        <c:ser>
          <c:idx val="3"/>
          <c:order val="3"/>
          <c:tx>
            <c:strRef>
              <c:f>'кредиты (EN)'!$A$6</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'кредиты (EN)'!$N$1:$W$2</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'кредиты (EN)'!$N$6:$W$6</c:f>
              <c:numCache>
                <c:formatCode>_-* #,##0_р_._-;\-* #,##0_р_._-;_-* "-"??_р_._-;_-@_-</c:formatCode>
                <c:ptCount val="10"/>
                <c:pt idx="0">
                  <c:v>-153.84749976393857</c:v>
                </c:pt>
                <c:pt idx="1">
                  <c:v>1072.3721730841398</c:v>
                </c:pt>
                <c:pt idx="2">
                  <c:v>-180.56610026185109</c:v>
                </c:pt>
                <c:pt idx="3">
                  <c:v>558.43110120457743</c:v>
                </c:pt>
                <c:pt idx="4">
                  <c:v>288.05249120639189</c:v>
                </c:pt>
                <c:pt idx="5">
                  <c:v>262.89508494024261</c:v>
                </c:pt>
                <c:pt idx="6">
                  <c:v>90.540319929011304</c:v>
                </c:pt>
                <c:pt idx="7">
                  <c:v>604.22190288791728</c:v>
                </c:pt>
                <c:pt idx="8">
                  <c:v>156.4718624924958</c:v>
                </c:pt>
                <c:pt idx="9">
                  <c:v>525.01513921089963</c:v>
                </c:pt>
              </c:numCache>
            </c:numRef>
          </c:val>
          <c:extLst>
            <c:ext xmlns:c16="http://schemas.microsoft.com/office/drawing/2014/chart" uri="{C3380CC4-5D6E-409C-BE32-E72D297353CC}">
              <c16:uniqueId val="{00000002-7ABC-4BA5-9965-24B3C6938097}"/>
            </c:ext>
          </c:extLst>
        </c:ser>
        <c:dLbls>
          <c:showLegendKey val="0"/>
          <c:showVal val="0"/>
          <c:showCatName val="0"/>
          <c:showSerName val="0"/>
          <c:showPercent val="0"/>
          <c:showBubbleSize val="0"/>
        </c:dLbls>
        <c:gapWidth val="150"/>
        <c:axId val="58193024"/>
        <c:axId val="58194560"/>
      </c:barChart>
      <c:lineChart>
        <c:grouping val="standard"/>
        <c:varyColors val="0"/>
        <c:ser>
          <c:idx val="0"/>
          <c:order val="0"/>
          <c:tx>
            <c:strRef>
              <c:f>'кредиты (EN)'!$A$3</c:f>
              <c:strCache>
                <c:ptCount val="1"/>
                <c:pt idx="0">
                  <c:v>Total external debt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bg2"/>
                </a:solidFill>
                <a:round/>
              </a:ln>
              <a:effectLst/>
            </c:spPr>
          </c:marker>
          <c:dLbls>
            <c:dLbl>
              <c:idx val="2"/>
              <c:layout>
                <c:manualLayout>
                  <c:x val="-4.7185752787612958E-2"/>
                  <c:y val="-7.69122283842460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BC-4BA5-9965-24B3C6938097}"/>
                </c:ext>
              </c:extLst>
            </c:dLbl>
            <c:dLbl>
              <c:idx val="4"/>
              <c:layout>
                <c:manualLayout>
                  <c:x val="-2.9288661065017881E-2"/>
                  <c:y val="-7.35830578248090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ABC-4BA5-9965-24B3C6938097}"/>
                </c:ext>
              </c:extLst>
            </c:dLbl>
            <c:dLbl>
              <c:idx val="6"/>
              <c:layout>
                <c:manualLayout>
                  <c:x val="-5.1722595078299904E-2"/>
                  <c:y val="-7.02538872653721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ABC-4BA5-9965-24B3C6938097}"/>
                </c:ext>
              </c:extLst>
            </c:dLbl>
            <c:dLbl>
              <c:idx val="8"/>
              <c:layout>
                <c:manualLayout>
                  <c:x val="-2.3911842480364234E-2"/>
                  <c:y val="-5.69372050276243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ABC-4BA5-9965-24B3C69380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'кредиты (EN)'!$N$1:$W$2</c:f>
              <c:multiLvlStrCache>
                <c:ptCount val="10"/>
                <c:lvl>
                  <c:pt idx="0">
                    <c:v>Q1</c:v>
                  </c:pt>
                  <c:pt idx="1">
                    <c:v>Q2</c:v>
                  </c:pt>
                  <c:pt idx="2">
                    <c:v>Q3</c:v>
                  </c:pt>
                  <c:pt idx="3">
                    <c:v>Q4</c:v>
                  </c:pt>
                  <c:pt idx="4">
                    <c:v>Q1</c:v>
                  </c:pt>
                  <c:pt idx="5">
                    <c:v>Q2</c:v>
                  </c:pt>
                  <c:pt idx="6">
                    <c:v>Q3</c:v>
                  </c:pt>
                  <c:pt idx="7">
                    <c:v>Q4</c:v>
                  </c:pt>
                  <c:pt idx="8">
                    <c:v>Q1</c:v>
                  </c:pt>
                  <c:pt idx="9">
                    <c:v>Q2</c:v>
                  </c:pt>
                </c:lvl>
                <c:lvl>
                  <c:pt idx="0">
                    <c:v>2019</c:v>
                  </c:pt>
                  <c:pt idx="4">
                    <c:v>2020</c:v>
                  </c:pt>
                  <c:pt idx="8">
                    <c:v>2021</c:v>
                  </c:pt>
                </c:lvl>
              </c:multiLvlStrCache>
            </c:multiLvlStrRef>
          </c:cat>
          <c:val>
            <c:numRef>
              <c:f>'кредиты (EN)'!$N$3:$W$3</c:f>
              <c:numCache>
                <c:formatCode>_-* #,##0_р_._-;\-* #,##0_р_._-;_-* "-"??_р_._-;_-@_-</c:formatCode>
                <c:ptCount val="10"/>
                <c:pt idx="0">
                  <c:v>927.7483225733755</c:v>
                </c:pt>
                <c:pt idx="1">
                  <c:v>1577.8474273926736</c:v>
                </c:pt>
                <c:pt idx="2">
                  <c:v>715.85270920905964</c:v>
                </c:pt>
                <c:pt idx="3">
                  <c:v>2645.4068544568095</c:v>
                </c:pt>
                <c:pt idx="4">
                  <c:v>1224.7816683115852</c:v>
                </c:pt>
                <c:pt idx="5">
                  <c:v>1823.9371977430228</c:v>
                </c:pt>
                <c:pt idx="6">
                  <c:v>1318.6863838291947</c:v>
                </c:pt>
                <c:pt idx="7">
                  <c:v>2713.8230849566721</c:v>
                </c:pt>
                <c:pt idx="8">
                  <c:v>721.72546471200349</c:v>
                </c:pt>
                <c:pt idx="9">
                  <c:v>1112.9319278901348</c:v>
                </c:pt>
              </c:numCache>
            </c:numRef>
          </c:val>
          <c:smooth val="0"/>
          <c:extLst>
            <c:ext xmlns:c16="http://schemas.microsoft.com/office/drawing/2014/chart" uri="{C3380CC4-5D6E-409C-BE32-E72D297353CC}">
              <c16:uniqueId val="{00000007-7ABC-4BA5-9965-24B3C6938097}"/>
            </c:ext>
          </c:extLst>
        </c:ser>
        <c:dLbls>
          <c:showLegendKey val="0"/>
          <c:showVal val="0"/>
          <c:showCatName val="0"/>
          <c:showSerName val="0"/>
          <c:showPercent val="0"/>
          <c:showBubbleSize val="0"/>
        </c:dLbls>
        <c:marker val="1"/>
        <c:smooth val="0"/>
        <c:axId val="58193024"/>
        <c:axId val="58194560"/>
      </c:lineChart>
      <c:catAx>
        <c:axId val="58193024"/>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8194560"/>
        <c:crosses val="autoZero"/>
        <c:auto val="1"/>
        <c:lblAlgn val="ctr"/>
        <c:lblOffset val="100"/>
        <c:noMultiLvlLbl val="0"/>
      </c:catAx>
      <c:valAx>
        <c:axId val="58194560"/>
        <c:scaling>
          <c:orientation val="minMax"/>
          <c:min val="-3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8193024"/>
        <c:crosses val="autoZero"/>
        <c:crossBetween val="between"/>
        <c:majorUnit val="3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'Разбивка обязательств (eng)'!$A$8</c:f>
              <c:strCache>
                <c:ptCount val="1"/>
                <c:pt idx="0">
                  <c:v>Direct investment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(eng)'!$D$7:$I$7</c:f>
              <c:strCache>
                <c:ptCount val="6"/>
                <c:pt idx="0">
                  <c:v>2016</c:v>
                </c:pt>
                <c:pt idx="1">
                  <c:v>2017</c:v>
                </c:pt>
                <c:pt idx="2">
                  <c:v>2018</c:v>
                </c:pt>
                <c:pt idx="3">
                  <c:v>2019</c:v>
                </c:pt>
                <c:pt idx="4">
                  <c:v>2020</c:v>
                </c:pt>
                <c:pt idx="5">
                  <c:v>The 1st half of 2021</c:v>
                </c:pt>
              </c:strCache>
            </c:strRef>
          </c:cat>
          <c:val>
            <c:numRef>
              <c:f>'Разбивка обязательств (eng)'!$D$8:$I$8</c:f>
              <c:numCache>
                <c:formatCode>0%</c:formatCode>
                <c:ptCount val="6"/>
                <c:pt idx="0">
                  <c:v>0.54820650856473085</c:v>
                </c:pt>
                <c:pt idx="1">
                  <c:v>0.63538920679357602</c:v>
                </c:pt>
                <c:pt idx="2">
                  <c:v>0.23349113285216558</c:v>
                </c:pt>
                <c:pt idx="3">
                  <c:v>0.28307310344277714</c:v>
                </c:pt>
                <c:pt idx="4">
                  <c:v>0.19647798477401562</c:v>
                </c:pt>
                <c:pt idx="5">
                  <c:v>0.37983328477217509</c:v>
                </c:pt>
              </c:numCache>
            </c:numRef>
          </c:val>
          <c:extLst>
            <c:ext xmlns:c16="http://schemas.microsoft.com/office/drawing/2014/chart" uri="{C3380CC4-5D6E-409C-BE32-E72D297353CC}">
              <c16:uniqueId val="{00000000-22C4-490B-B384-7AA823A1B081}"/>
            </c:ext>
          </c:extLst>
        </c:ser>
        <c:ser>
          <c:idx val="1"/>
          <c:order val="1"/>
          <c:tx>
            <c:strRef>
              <c:f>'Разбивка обязательств (eng)'!$A$9</c:f>
              <c:strCache>
                <c:ptCount val="1"/>
                <c:pt idx="0">
                  <c:v>Disbursement of loans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(eng)'!$D$7:$I$7</c:f>
              <c:strCache>
                <c:ptCount val="6"/>
                <c:pt idx="0">
                  <c:v>2016</c:v>
                </c:pt>
                <c:pt idx="1">
                  <c:v>2017</c:v>
                </c:pt>
                <c:pt idx="2">
                  <c:v>2018</c:v>
                </c:pt>
                <c:pt idx="3">
                  <c:v>2019</c:v>
                </c:pt>
                <c:pt idx="4">
                  <c:v>2020</c:v>
                </c:pt>
                <c:pt idx="5">
                  <c:v>The 1st half of 2021</c:v>
                </c:pt>
              </c:strCache>
            </c:strRef>
          </c:cat>
          <c:val>
            <c:numRef>
              <c:f>'Разбивка обязательств (eng)'!$D$9:$I$9</c:f>
              <c:numCache>
                <c:formatCode>0%</c:formatCode>
                <c:ptCount val="6"/>
                <c:pt idx="0">
                  <c:v>0.45179349143526909</c:v>
                </c:pt>
                <c:pt idx="1">
                  <c:v>0.36461079320642398</c:v>
                </c:pt>
                <c:pt idx="2">
                  <c:v>0.76650886714783428</c:v>
                </c:pt>
                <c:pt idx="3">
                  <c:v>0.71692689655722275</c:v>
                </c:pt>
                <c:pt idx="4">
                  <c:v>0.80352201522598443</c:v>
                </c:pt>
                <c:pt idx="5">
                  <c:v>0.62016671522782485</c:v>
                </c:pt>
              </c:numCache>
            </c:numRef>
          </c:val>
          <c:extLst>
            <c:ext xmlns:c16="http://schemas.microsoft.com/office/drawing/2014/chart" uri="{C3380CC4-5D6E-409C-BE32-E72D297353CC}">
              <c16:uniqueId val="{00000001-22C4-490B-B384-7AA823A1B081}"/>
            </c:ext>
          </c:extLst>
        </c:ser>
        <c:dLbls>
          <c:dLblPos val="outEnd"/>
          <c:showLegendKey val="0"/>
          <c:showVal val="1"/>
          <c:showCatName val="0"/>
          <c:showSerName val="0"/>
          <c:showPercent val="0"/>
          <c:showBubbleSize val="0"/>
        </c:dLbls>
        <c:gapWidth val="100"/>
        <c:overlap val="-24"/>
        <c:axId val="1501575343"/>
        <c:axId val="1501579087"/>
      </c:barChart>
      <c:catAx>
        <c:axId val="15015753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9087"/>
        <c:crosses val="autoZero"/>
        <c:auto val="1"/>
        <c:lblAlgn val="ctr"/>
        <c:lblOffset val="100"/>
        <c:noMultiLvlLbl val="0"/>
      </c:catAx>
      <c:valAx>
        <c:axId val="1501579087"/>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5343"/>
        <c:crosses val="autoZero"/>
        <c:crossBetween val="between"/>
        <c:majorUnit val="0.2"/>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071868204714"/>
          <c:y val="3.1903792198388993E-2"/>
          <c:w val="0.87876534071738899"/>
          <c:h val="0.78667503846501941"/>
        </c:manualLayout>
      </c:layout>
      <c:barChart>
        <c:barDir val="col"/>
        <c:grouping val="clustered"/>
        <c:varyColors val="0"/>
        <c:ser>
          <c:idx val="1"/>
          <c:order val="1"/>
          <c:tx>
            <c:strRef>
              <c:f>'чистый МИП 2014-2020 (EN)'!$A$3</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July 1, 2021</c:v>
                </c:pt>
              </c:strCache>
            </c:strRef>
          </c:cat>
          <c:val>
            <c:numRef>
              <c:f>'чистый МИП 2014-2020 (EN)'!$G$3:$I$3</c:f>
              <c:numCache>
                <c:formatCode>_-* #,##0\ _₽_-;\-* #,##0\ _₽_-;_-* "-"??\ _₽_-;_-@_-</c:formatCode>
                <c:ptCount val="3"/>
                <c:pt idx="0">
                  <c:v>17068.939447410994</c:v>
                </c:pt>
                <c:pt idx="1">
                  <c:v>18387.99435620381</c:v>
                </c:pt>
                <c:pt idx="2">
                  <c:v>17389.507208267038</c:v>
                </c:pt>
              </c:numCache>
            </c:numRef>
          </c:val>
          <c:extLst>
            <c:ext xmlns:c16="http://schemas.microsoft.com/office/drawing/2014/chart" uri="{C3380CC4-5D6E-409C-BE32-E72D297353CC}">
              <c16:uniqueId val="{00000000-CC2D-4E7B-9BE3-B8924EA59A94}"/>
            </c:ext>
          </c:extLst>
        </c:ser>
        <c:ser>
          <c:idx val="2"/>
          <c:order val="2"/>
          <c:tx>
            <c:strRef>
              <c:f>'чистый МИП 2014-2020 (EN)'!$A$4</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July 1, 2021</c:v>
                </c:pt>
              </c:strCache>
            </c:strRef>
          </c:cat>
          <c:val>
            <c:numRef>
              <c:f>'чистый МИП 2014-2020 (EN)'!$G$4:$I$4</c:f>
              <c:numCache>
                <c:formatCode>_-* #,##0\ _₽_-;\-* #,##0\ _₽_-;_-* "-"??\ _₽_-;_-@_-</c:formatCode>
                <c:ptCount val="3"/>
                <c:pt idx="0">
                  <c:v>-1206.0014617797947</c:v>
                </c:pt>
                <c:pt idx="1">
                  <c:v>-4225.5348115207689</c:v>
                </c:pt>
                <c:pt idx="2">
                  <c:v>-5352.9306490957006</c:v>
                </c:pt>
              </c:numCache>
            </c:numRef>
          </c:val>
          <c:extLst>
            <c:ext xmlns:c16="http://schemas.microsoft.com/office/drawing/2014/chart" uri="{C3380CC4-5D6E-409C-BE32-E72D297353CC}">
              <c16:uniqueId val="{00000001-CC2D-4E7B-9BE3-B8924EA59A94}"/>
            </c:ext>
          </c:extLst>
        </c:ser>
        <c:ser>
          <c:idx val="3"/>
          <c:order val="3"/>
          <c:tx>
            <c:strRef>
              <c:f>'чистый МИП 2014-2020 (EN)'!$A$5</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July 1, 2021</c:v>
                </c:pt>
              </c:strCache>
            </c:strRef>
          </c:cat>
          <c:val>
            <c:numRef>
              <c:f>'чистый МИП 2014-2020 (EN)'!$G$5:$I$5</c:f>
              <c:numCache>
                <c:formatCode>_-* #,##0\ _₽_-;\-* #,##0\ _₽_-;_-* "-"??\ _₽_-;_-@_-</c:formatCode>
                <c:ptCount val="3"/>
                <c:pt idx="0">
                  <c:v>3927.6895822823935</c:v>
                </c:pt>
                <c:pt idx="1">
                  <c:v>6091.92105970599</c:v>
                </c:pt>
                <c:pt idx="2">
                  <c:v>5805.3618636494575</c:v>
                </c:pt>
              </c:numCache>
            </c:numRef>
          </c:val>
          <c:extLst>
            <c:ext xmlns:c16="http://schemas.microsoft.com/office/drawing/2014/chart" uri="{C3380CC4-5D6E-409C-BE32-E72D297353CC}">
              <c16:uniqueId val="{00000002-CC2D-4E7B-9BE3-B8924EA59A94}"/>
            </c:ext>
          </c:extLst>
        </c:ser>
        <c:dLbls>
          <c:showLegendKey val="0"/>
          <c:showVal val="0"/>
          <c:showCatName val="0"/>
          <c:showSerName val="0"/>
          <c:showPercent val="0"/>
          <c:showBubbleSize val="0"/>
        </c:dLbls>
        <c:gapWidth val="219"/>
        <c:overlap val="-27"/>
        <c:axId val="56299520"/>
        <c:axId val="56301056"/>
      </c:barChart>
      <c:lineChart>
        <c:grouping val="standard"/>
        <c:varyColors val="0"/>
        <c:ser>
          <c:idx val="0"/>
          <c:order val="0"/>
          <c:tx>
            <c:strRef>
              <c:f>'чистый МИП 2014-2020 (EN)'!$A$2</c:f>
              <c:strCache>
                <c:ptCount val="1"/>
                <c:pt idx="0">
                  <c:v>Net IIP</c:v>
                </c:pt>
              </c:strCache>
            </c:strRef>
          </c:tx>
          <c:spPr>
            <a:ln w="22225" cap="rnd">
              <a:solidFill>
                <a:schemeClr val="accent1"/>
              </a:solidFill>
              <a:round/>
            </a:ln>
            <a:effectLst/>
          </c:spPr>
          <c:marker>
            <c:symbol val="circle"/>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2.2912569987262345E-2"/>
                  <c:y val="-3.62141370259752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C2D-4E7B-9BE3-B8924EA59A9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'чистый МИП 2014-2020 (EN)'!$G$1:$I$1</c:f>
              <c:strCache>
                <c:ptCount val="3"/>
                <c:pt idx="0">
                  <c:v>January 1, 2020</c:v>
                </c:pt>
                <c:pt idx="1">
                  <c:v>January 1, 2021</c:v>
                </c:pt>
                <c:pt idx="2">
                  <c:v>July 1, 2021</c:v>
                </c:pt>
              </c:strCache>
            </c:strRef>
          </c:cat>
          <c:val>
            <c:numRef>
              <c:f>'чистый МИП 2014-2020 (EN)'!$G$2:$I$2</c:f>
              <c:numCache>
                <c:formatCode>_-* #,##0\ _₽_-;\-* #,##0\ _₽_-;_-* "-"??\ _₽_-;_-@_-</c:formatCode>
                <c:ptCount val="3"/>
                <c:pt idx="0">
                  <c:v>19790.627567913594</c:v>
                </c:pt>
                <c:pt idx="1">
                  <c:v>20254.380604389029</c:v>
                </c:pt>
                <c:pt idx="2">
                  <c:v>17841.938422820793</c:v>
                </c:pt>
              </c:numCache>
            </c:numRef>
          </c:val>
          <c:smooth val="0"/>
          <c:extLst>
            <c:ext xmlns:c16="http://schemas.microsoft.com/office/drawing/2014/chart" uri="{C3380CC4-5D6E-409C-BE32-E72D297353CC}">
              <c16:uniqueId val="{00000004-CC2D-4E7B-9BE3-B8924EA59A94}"/>
            </c:ext>
          </c:extLst>
        </c:ser>
        <c:dLbls>
          <c:showLegendKey val="0"/>
          <c:showVal val="0"/>
          <c:showCatName val="0"/>
          <c:showSerName val="0"/>
          <c:showPercent val="0"/>
          <c:showBubbleSize val="0"/>
        </c:dLbls>
        <c:marker val="1"/>
        <c:smooth val="0"/>
        <c:axId val="56299520"/>
        <c:axId val="56301056"/>
      </c:lineChart>
      <c:catAx>
        <c:axId val="5629952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301056"/>
        <c:crosses val="autoZero"/>
        <c:auto val="1"/>
        <c:lblAlgn val="ctr"/>
        <c:lblOffset val="100"/>
        <c:noMultiLvlLbl val="0"/>
      </c:catAx>
      <c:valAx>
        <c:axId val="56301056"/>
        <c:scaling>
          <c:orientation val="minMax"/>
          <c:max val="25000"/>
          <c:min val="-6000"/>
        </c:scaling>
        <c:delete val="0"/>
        <c:axPos val="l"/>
        <c:majorGridlines>
          <c:spPr>
            <a:ln w="9525" cap="flat" cmpd="sng" algn="ctr">
              <a:solidFill>
                <a:schemeClr val="tx2">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299520"/>
        <c:crosses val="autoZero"/>
        <c:crossBetween val="between"/>
        <c:majorUnit val="5000"/>
      </c:valAx>
      <c:spPr>
        <a:noFill/>
        <a:ln>
          <a:noFill/>
        </a:ln>
        <a:effectLst/>
      </c:spPr>
    </c:plotArea>
    <c:legend>
      <c:legendPos val="b"/>
      <c:layout>
        <c:manualLayout>
          <c:xMode val="edge"/>
          <c:yMode val="edge"/>
          <c:x val="7.9681213315675806E-2"/>
          <c:y val="0.91475337134582324"/>
          <c:w val="0.83497468047758538"/>
          <c:h val="6.800524934383202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9215779845702E-2"/>
          <c:y val="2.4385043248665632E-2"/>
          <c:w val="0.88570317346695304"/>
          <c:h val="0.7728963002044138"/>
        </c:manualLayout>
      </c:layout>
      <c:lineChart>
        <c:grouping val="standard"/>
        <c:varyColors val="0"/>
        <c:ser>
          <c:idx val="0"/>
          <c:order val="0"/>
          <c:spPr>
            <a:ln w="22225" cap="rnd" cmpd="sng" algn="ctr">
              <a:solidFill>
                <a:schemeClr val="accent1"/>
              </a:solidFill>
              <a:round/>
            </a:ln>
            <a:effectLst/>
          </c:spPr>
          <c:marker>
            <c:symbol val="none"/>
          </c:marker>
          <c:cat>
            <c:numRef>
              <c:f>'XAU FIX new'!$A$1272:$A$1395</c:f>
              <c:numCache>
                <c:formatCode>m/d/yyyy</c:formatCode>
                <c:ptCount val="124"/>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pt idx="63">
                  <c:v>44287</c:v>
                </c:pt>
                <c:pt idx="64">
                  <c:v>44292</c:v>
                </c:pt>
                <c:pt idx="65">
                  <c:v>44293</c:v>
                </c:pt>
                <c:pt idx="66">
                  <c:v>44294</c:v>
                </c:pt>
                <c:pt idx="67">
                  <c:v>44295</c:v>
                </c:pt>
                <c:pt idx="68">
                  <c:v>44298</c:v>
                </c:pt>
                <c:pt idx="69">
                  <c:v>44299</c:v>
                </c:pt>
                <c:pt idx="70">
                  <c:v>44300</c:v>
                </c:pt>
                <c:pt idx="71">
                  <c:v>44301</c:v>
                </c:pt>
                <c:pt idx="72">
                  <c:v>44302</c:v>
                </c:pt>
                <c:pt idx="73">
                  <c:v>44305</c:v>
                </c:pt>
                <c:pt idx="74">
                  <c:v>44306</c:v>
                </c:pt>
                <c:pt idx="75">
                  <c:v>44307</c:v>
                </c:pt>
                <c:pt idx="76">
                  <c:v>44308</c:v>
                </c:pt>
                <c:pt idx="77">
                  <c:v>44309</c:v>
                </c:pt>
                <c:pt idx="78">
                  <c:v>44312</c:v>
                </c:pt>
                <c:pt idx="79">
                  <c:v>44313</c:v>
                </c:pt>
                <c:pt idx="80">
                  <c:v>44314</c:v>
                </c:pt>
                <c:pt idx="81">
                  <c:v>44315</c:v>
                </c:pt>
                <c:pt idx="82">
                  <c:v>44316</c:v>
                </c:pt>
                <c:pt idx="83">
                  <c:v>44320</c:v>
                </c:pt>
                <c:pt idx="84">
                  <c:v>44321</c:v>
                </c:pt>
                <c:pt idx="85">
                  <c:v>44322</c:v>
                </c:pt>
                <c:pt idx="86">
                  <c:v>44323</c:v>
                </c:pt>
                <c:pt idx="87">
                  <c:v>44326</c:v>
                </c:pt>
                <c:pt idx="88">
                  <c:v>44327</c:v>
                </c:pt>
                <c:pt idx="89">
                  <c:v>44328</c:v>
                </c:pt>
                <c:pt idx="90">
                  <c:v>44329</c:v>
                </c:pt>
                <c:pt idx="91">
                  <c:v>44330</c:v>
                </c:pt>
                <c:pt idx="92">
                  <c:v>44333</c:v>
                </c:pt>
                <c:pt idx="93">
                  <c:v>44334</c:v>
                </c:pt>
                <c:pt idx="94">
                  <c:v>44335</c:v>
                </c:pt>
                <c:pt idx="95">
                  <c:v>44336</c:v>
                </c:pt>
                <c:pt idx="96">
                  <c:v>44337</c:v>
                </c:pt>
                <c:pt idx="97">
                  <c:v>44340</c:v>
                </c:pt>
                <c:pt idx="98">
                  <c:v>44341</c:v>
                </c:pt>
                <c:pt idx="99">
                  <c:v>44342</c:v>
                </c:pt>
                <c:pt idx="100">
                  <c:v>44343</c:v>
                </c:pt>
                <c:pt idx="101">
                  <c:v>44344</c:v>
                </c:pt>
                <c:pt idx="102">
                  <c:v>44348</c:v>
                </c:pt>
                <c:pt idx="103">
                  <c:v>44349</c:v>
                </c:pt>
                <c:pt idx="104">
                  <c:v>44350</c:v>
                </c:pt>
                <c:pt idx="105">
                  <c:v>44351</c:v>
                </c:pt>
                <c:pt idx="106">
                  <c:v>44354</c:v>
                </c:pt>
                <c:pt idx="107">
                  <c:v>44355</c:v>
                </c:pt>
                <c:pt idx="108">
                  <c:v>44356</c:v>
                </c:pt>
                <c:pt idx="109">
                  <c:v>44357</c:v>
                </c:pt>
                <c:pt idx="110">
                  <c:v>44358</c:v>
                </c:pt>
                <c:pt idx="111">
                  <c:v>44361</c:v>
                </c:pt>
                <c:pt idx="112">
                  <c:v>44362</c:v>
                </c:pt>
                <c:pt idx="113">
                  <c:v>44363</c:v>
                </c:pt>
                <c:pt idx="114">
                  <c:v>44364</c:v>
                </c:pt>
                <c:pt idx="115">
                  <c:v>44365</c:v>
                </c:pt>
                <c:pt idx="116">
                  <c:v>44368</c:v>
                </c:pt>
                <c:pt idx="117">
                  <c:v>44369</c:v>
                </c:pt>
                <c:pt idx="118">
                  <c:v>44370</c:v>
                </c:pt>
                <c:pt idx="119">
                  <c:v>44371</c:v>
                </c:pt>
                <c:pt idx="120">
                  <c:v>44372</c:v>
                </c:pt>
                <c:pt idx="121">
                  <c:v>44375</c:v>
                </c:pt>
                <c:pt idx="122">
                  <c:v>44376</c:v>
                </c:pt>
                <c:pt idx="123">
                  <c:v>44377</c:v>
                </c:pt>
              </c:numCache>
            </c:numRef>
          </c:cat>
          <c:val>
            <c:numRef>
              <c:f>'XAU FIX new'!$B$1272:$B$1395</c:f>
              <c:numCache>
                <c:formatCode>_-* #,##0.0\ _₽_-;\-* #,##0.0\ _₽_-;_-* "-"??\ _₽_-;_-@_-</c:formatCode>
                <c:ptCount val="124"/>
                <c:pt idx="0">
                  <c:v>1930.8</c:v>
                </c:pt>
                <c:pt idx="1">
                  <c:v>1946.55</c:v>
                </c:pt>
                <c:pt idx="2">
                  <c:v>1957.2</c:v>
                </c:pt>
                <c:pt idx="3">
                  <c:v>1911.05</c:v>
                </c:pt>
                <c:pt idx="4">
                  <c:v>1891.3</c:v>
                </c:pt>
                <c:pt idx="5">
                  <c:v>1847.8</c:v>
                </c:pt>
                <c:pt idx="6">
                  <c:v>1861.85</c:v>
                </c:pt>
                <c:pt idx="7">
                  <c:v>1852.4</c:v>
                </c:pt>
                <c:pt idx="8">
                  <c:v>1840.25</c:v>
                </c:pt>
                <c:pt idx="9">
                  <c:v>1853.85</c:v>
                </c:pt>
                <c:pt idx="10">
                  <c:v>1833.95</c:v>
                </c:pt>
                <c:pt idx="11">
                  <c:v>1843.1</c:v>
                </c:pt>
                <c:pt idx="12">
                  <c:v>1854.6</c:v>
                </c:pt>
                <c:pt idx="13">
                  <c:v>1867.65</c:v>
                </c:pt>
                <c:pt idx="14">
                  <c:v>1853.6</c:v>
                </c:pt>
                <c:pt idx="15">
                  <c:v>1855.6</c:v>
                </c:pt>
                <c:pt idx="16">
                  <c:v>1853.2</c:v>
                </c:pt>
                <c:pt idx="17">
                  <c:v>1846.4</c:v>
                </c:pt>
                <c:pt idx="18">
                  <c:v>1839.65</c:v>
                </c:pt>
                <c:pt idx="19">
                  <c:v>1852.7</c:v>
                </c:pt>
                <c:pt idx="20">
                  <c:v>1857.8</c:v>
                </c:pt>
                <c:pt idx="21">
                  <c:v>1847.1</c:v>
                </c:pt>
                <c:pt idx="22">
                  <c:v>1834.7</c:v>
                </c:pt>
                <c:pt idx="23">
                  <c:v>1811.55</c:v>
                </c:pt>
                <c:pt idx="24">
                  <c:v>1808.55</c:v>
                </c:pt>
                <c:pt idx="25">
                  <c:v>1811.65</c:v>
                </c:pt>
                <c:pt idx="26">
                  <c:v>1846.55</c:v>
                </c:pt>
                <c:pt idx="27">
                  <c:v>1843.45</c:v>
                </c:pt>
                <c:pt idx="28">
                  <c:v>1841.7</c:v>
                </c:pt>
                <c:pt idx="29">
                  <c:v>1818</c:v>
                </c:pt>
                <c:pt idx="30">
                  <c:v>1817.45</c:v>
                </c:pt>
                <c:pt idx="31">
                  <c:v>1823.45</c:v>
                </c:pt>
                <c:pt idx="32">
                  <c:v>1788.85</c:v>
                </c:pt>
                <c:pt idx="33">
                  <c:v>1782.8</c:v>
                </c:pt>
                <c:pt idx="34">
                  <c:v>1773.75</c:v>
                </c:pt>
                <c:pt idx="35">
                  <c:v>1798.8</c:v>
                </c:pt>
                <c:pt idx="36">
                  <c:v>1809.5</c:v>
                </c:pt>
                <c:pt idx="37">
                  <c:v>1807.25</c:v>
                </c:pt>
                <c:pt idx="38">
                  <c:v>1792.1</c:v>
                </c:pt>
                <c:pt idx="39">
                  <c:v>1765.1</c:v>
                </c:pt>
                <c:pt idx="40">
                  <c:v>1746.95</c:v>
                </c:pt>
                <c:pt idx="41">
                  <c:v>1728.5</c:v>
                </c:pt>
                <c:pt idx="42">
                  <c:v>1727.05</c:v>
                </c:pt>
                <c:pt idx="43">
                  <c:v>1710.05</c:v>
                </c:pt>
                <c:pt idx="44">
                  <c:v>1696.05</c:v>
                </c:pt>
                <c:pt idx="45">
                  <c:v>1694.45</c:v>
                </c:pt>
                <c:pt idx="46">
                  <c:v>1702.85</c:v>
                </c:pt>
                <c:pt idx="47">
                  <c:v>1711.5</c:v>
                </c:pt>
                <c:pt idx="48">
                  <c:v>1736.35</c:v>
                </c:pt>
                <c:pt idx="49">
                  <c:v>1703.85</c:v>
                </c:pt>
                <c:pt idx="50">
                  <c:v>1727.9</c:v>
                </c:pt>
                <c:pt idx="51">
                  <c:v>1732.3</c:v>
                </c:pt>
                <c:pt idx="52">
                  <c:v>1736.95</c:v>
                </c:pt>
                <c:pt idx="53">
                  <c:v>1734.1</c:v>
                </c:pt>
                <c:pt idx="54">
                  <c:v>1737.2</c:v>
                </c:pt>
                <c:pt idx="55">
                  <c:v>1733.4</c:v>
                </c:pt>
                <c:pt idx="56">
                  <c:v>1739.25</c:v>
                </c:pt>
                <c:pt idx="57">
                  <c:v>1734.05</c:v>
                </c:pt>
                <c:pt idx="58">
                  <c:v>1729.2</c:v>
                </c:pt>
                <c:pt idx="59">
                  <c:v>1727.85</c:v>
                </c:pt>
                <c:pt idx="60">
                  <c:v>1723.95</c:v>
                </c:pt>
                <c:pt idx="61">
                  <c:v>1696.7</c:v>
                </c:pt>
                <c:pt idx="62">
                  <c:v>1685.35</c:v>
                </c:pt>
                <c:pt idx="63">
                  <c:v>1715.85</c:v>
                </c:pt>
                <c:pt idx="64">
                  <c:v>1731.05</c:v>
                </c:pt>
                <c:pt idx="65">
                  <c:v>1736</c:v>
                </c:pt>
                <c:pt idx="66">
                  <c:v>1743.7</c:v>
                </c:pt>
                <c:pt idx="67">
                  <c:v>1747.95</c:v>
                </c:pt>
                <c:pt idx="68">
                  <c:v>1741.55</c:v>
                </c:pt>
                <c:pt idx="69">
                  <c:v>1728.1</c:v>
                </c:pt>
                <c:pt idx="70">
                  <c:v>1743.3</c:v>
                </c:pt>
                <c:pt idx="71">
                  <c:v>1748</c:v>
                </c:pt>
                <c:pt idx="72">
                  <c:v>1766.45</c:v>
                </c:pt>
                <c:pt idx="73">
                  <c:v>1788.4</c:v>
                </c:pt>
                <c:pt idx="74">
                  <c:v>1765.5</c:v>
                </c:pt>
                <c:pt idx="75">
                  <c:v>1781.05</c:v>
                </c:pt>
                <c:pt idx="76">
                  <c:v>1785.65</c:v>
                </c:pt>
                <c:pt idx="77">
                  <c:v>1785.3</c:v>
                </c:pt>
                <c:pt idx="78">
                  <c:v>1779.65</c:v>
                </c:pt>
                <c:pt idx="79">
                  <c:v>1780.9</c:v>
                </c:pt>
                <c:pt idx="80">
                  <c:v>1764.15</c:v>
                </c:pt>
                <c:pt idx="81">
                  <c:v>1774.65</c:v>
                </c:pt>
                <c:pt idx="82">
                  <c:v>1768.8</c:v>
                </c:pt>
                <c:pt idx="83">
                  <c:v>1784.95</c:v>
                </c:pt>
                <c:pt idx="84">
                  <c:v>1778.05</c:v>
                </c:pt>
                <c:pt idx="85">
                  <c:v>1793.15</c:v>
                </c:pt>
                <c:pt idx="86">
                  <c:v>1820.5</c:v>
                </c:pt>
                <c:pt idx="87">
                  <c:v>1834.15</c:v>
                </c:pt>
                <c:pt idx="88">
                  <c:v>1837.15</c:v>
                </c:pt>
                <c:pt idx="89">
                  <c:v>1833.6</c:v>
                </c:pt>
                <c:pt idx="90">
                  <c:v>1814.3</c:v>
                </c:pt>
                <c:pt idx="91">
                  <c:v>1833.5</c:v>
                </c:pt>
                <c:pt idx="92">
                  <c:v>1848.45</c:v>
                </c:pt>
                <c:pt idx="93">
                  <c:v>1867.4</c:v>
                </c:pt>
                <c:pt idx="94">
                  <c:v>1860</c:v>
                </c:pt>
                <c:pt idx="95">
                  <c:v>1869.35</c:v>
                </c:pt>
                <c:pt idx="96">
                  <c:v>1877.65</c:v>
                </c:pt>
                <c:pt idx="97">
                  <c:v>1876.85</c:v>
                </c:pt>
                <c:pt idx="98">
                  <c:v>1882.8</c:v>
                </c:pt>
                <c:pt idx="99">
                  <c:v>1904.3</c:v>
                </c:pt>
                <c:pt idx="100">
                  <c:v>1895.05</c:v>
                </c:pt>
                <c:pt idx="101">
                  <c:v>1892.45</c:v>
                </c:pt>
                <c:pt idx="102">
                  <c:v>1907.7</c:v>
                </c:pt>
                <c:pt idx="103">
                  <c:v>1895.9</c:v>
                </c:pt>
                <c:pt idx="104">
                  <c:v>1892.15</c:v>
                </c:pt>
                <c:pt idx="105">
                  <c:v>1869.55</c:v>
                </c:pt>
                <c:pt idx="106">
                  <c:v>1882.05</c:v>
                </c:pt>
                <c:pt idx="107">
                  <c:v>1892.05</c:v>
                </c:pt>
                <c:pt idx="108">
                  <c:v>1890.45</c:v>
                </c:pt>
                <c:pt idx="109">
                  <c:v>1882</c:v>
                </c:pt>
                <c:pt idx="110">
                  <c:v>1891.95</c:v>
                </c:pt>
                <c:pt idx="111">
                  <c:v>1859.75</c:v>
                </c:pt>
                <c:pt idx="112">
                  <c:v>1863.85</c:v>
                </c:pt>
                <c:pt idx="113">
                  <c:v>1858.1</c:v>
                </c:pt>
                <c:pt idx="114">
                  <c:v>1806.75</c:v>
                </c:pt>
                <c:pt idx="115">
                  <c:v>1792.35</c:v>
                </c:pt>
                <c:pt idx="116">
                  <c:v>1782.45</c:v>
                </c:pt>
                <c:pt idx="117">
                  <c:v>1779.1</c:v>
                </c:pt>
                <c:pt idx="118">
                  <c:v>1782.9</c:v>
                </c:pt>
                <c:pt idx="119">
                  <c:v>1780.2</c:v>
                </c:pt>
                <c:pt idx="120">
                  <c:v>1783.25</c:v>
                </c:pt>
                <c:pt idx="121">
                  <c:v>1774.25</c:v>
                </c:pt>
                <c:pt idx="122">
                  <c:v>1769.6</c:v>
                </c:pt>
                <c:pt idx="123">
                  <c:v>1757.8</c:v>
                </c:pt>
              </c:numCache>
            </c:numRef>
          </c:val>
          <c:smooth val="1"/>
          <c:extLst>
            <c:ext xmlns:c16="http://schemas.microsoft.com/office/drawing/2014/chart" uri="{C3380CC4-5D6E-409C-BE32-E72D297353CC}">
              <c16:uniqueId val="{00000000-A90F-4679-8A7A-A76FDB90F2C7}"/>
            </c:ext>
          </c:extLst>
        </c:ser>
        <c:dLbls>
          <c:showLegendKey val="0"/>
          <c:showVal val="0"/>
          <c:showCatName val="0"/>
          <c:showSerName val="0"/>
          <c:showPercent val="0"/>
          <c:showBubbleSize val="0"/>
        </c:dLbls>
        <c:dropLines>
          <c:spPr>
            <a:ln w="9525" cap="flat" cmpd="sng" algn="ctr">
              <a:solidFill>
                <a:schemeClr val="accent1">
                  <a:lumMod val="60000"/>
                  <a:lumOff val="40000"/>
                  <a:alpha val="33000"/>
                </a:schemeClr>
              </a:solidFill>
              <a:round/>
            </a:ln>
            <a:effectLst/>
          </c:spPr>
        </c:dropLines>
        <c:smooth val="0"/>
        <c:axId val="1457366080"/>
        <c:axId val="1457368160"/>
      </c:lineChart>
      <c:dateAx>
        <c:axId val="1457366080"/>
        <c:scaling>
          <c:orientation val="minMax"/>
          <c:min val="44197"/>
        </c:scaling>
        <c:delete val="0"/>
        <c:axPos val="b"/>
        <c:numFmt formatCode="m/d/yyyy" sourceLinked="1"/>
        <c:majorTickMark val="none"/>
        <c:minorTickMark val="none"/>
        <c:tickLblPos val="nextTo"/>
        <c:spPr>
          <a:noFill/>
          <a:ln w="9525" cap="flat" cmpd="sng" algn="ctr">
            <a:solidFill>
              <a:schemeClr val="dk1">
                <a:lumMod val="15000"/>
                <a:lumOff val="85000"/>
              </a:schemeClr>
            </a:solidFill>
            <a:round/>
          </a:ln>
          <a:effectLst/>
        </c:spPr>
        <c:txPr>
          <a:bodyPr rot="-3480000" spcFirstLastPara="1" vertOverflow="ellipsis"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7368160"/>
        <c:crosses val="autoZero"/>
        <c:auto val="1"/>
        <c:lblOffset val="100"/>
        <c:baseTimeUnit val="days"/>
        <c:majorUnit val="6"/>
        <c:majorTimeUnit val="days"/>
      </c:dateAx>
      <c:valAx>
        <c:axId val="1457368160"/>
        <c:scaling>
          <c:orientation val="minMax"/>
        </c:scaling>
        <c:delete val="0"/>
        <c:axPos val="l"/>
        <c:majorGridlines>
          <c:spPr>
            <a:ln>
              <a:solidFill>
                <a:schemeClr val="dk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73660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86529671380754E-2"/>
          <c:y val="8.2305105936923112E-2"/>
          <c:w val="0.88943568033138387"/>
          <c:h val="0.76540240028137019"/>
        </c:manualLayout>
      </c:layout>
      <c:bar3DChart>
        <c:barDir val="col"/>
        <c:grouping val="stacked"/>
        <c:varyColors val="0"/>
        <c:ser>
          <c:idx val="0"/>
          <c:order val="0"/>
          <c:tx>
            <c:strRef>
              <c:f>'Экс. по компонент. 2д'!$D$49</c:f>
              <c:strCache>
                <c:ptCount val="1"/>
                <c:pt idx="0">
                  <c:v>Export FOB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698840361624776E-3"/>
                  <c:y val="-0.30704352316037237"/>
                </c:manualLayout>
              </c:layout>
              <c:tx>
                <c:rich>
                  <a:bodyPr/>
                  <a:lstStyle/>
                  <a:p>
                    <a:r>
                      <a:rPr lang="en-US"/>
                      <a:t>3 045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2B-4752-97EB-16C7ABAD3B02}"/>
                </c:ext>
              </c:extLst>
            </c:dLbl>
            <c:dLbl>
              <c:idx val="1"/>
              <c:layout>
                <c:manualLayout>
                  <c:x val="4.7397680723251286E-3"/>
                  <c:y val="-0.31069880319799587"/>
                </c:manualLayout>
              </c:layout>
              <c:tx>
                <c:rich>
                  <a:bodyPr/>
                  <a:lstStyle/>
                  <a:p>
                    <a:r>
                      <a:rPr lang="en-US"/>
                      <a:t>3 414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62B-4752-97EB-16C7ABAD3B02}"/>
                </c:ext>
              </c:extLst>
            </c:dLbl>
            <c:dLbl>
              <c:idx val="2"/>
              <c:layout>
                <c:manualLayout>
                  <c:x val="7.1096521084876929E-3"/>
                  <c:y val="-0.41304664425145332"/>
                </c:manualLayout>
              </c:layout>
              <c:tx>
                <c:rich>
                  <a:bodyPr/>
                  <a:lstStyle/>
                  <a:p>
                    <a:r>
                      <a:rPr lang="en-US"/>
                      <a:t>4 147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2B-4752-97EB-16C7ABAD3B02}"/>
                </c:ext>
              </c:extLst>
            </c:dLbl>
            <c:dLbl>
              <c:idx val="3"/>
              <c:layout>
                <c:manualLayout>
                  <c:x val="2.3698840361624776E-3"/>
                  <c:y val="-0.30338824312274898"/>
                </c:manualLayout>
              </c:layout>
              <c:tx>
                <c:rich>
                  <a:bodyPr/>
                  <a:lstStyle/>
                  <a:p>
                    <a:r>
                      <a:rPr lang="en-US"/>
                      <a:t>3 293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62B-4752-97EB-16C7ABAD3B02}"/>
                </c:ext>
              </c:extLst>
            </c:dLbl>
            <c:dLbl>
              <c:idx val="4"/>
              <c:layout>
                <c:manualLayout>
                  <c:x val="4.7397680723250419E-3"/>
                  <c:y val="-0.27780128285938455"/>
                </c:manualLayout>
              </c:layout>
              <c:tx>
                <c:rich>
                  <a:bodyPr/>
                  <a:lstStyle/>
                  <a:p>
                    <a:r>
                      <a:rPr lang="en-US"/>
                      <a:t>2 609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62B-4752-97EB-16C7ABAD3B02}"/>
                </c:ext>
              </c:extLst>
            </c:dLbl>
            <c:dLbl>
              <c:idx val="5"/>
              <c:layout>
                <c:manualLayout>
                  <c:x val="4.7397680723251286E-3"/>
                  <c:y val="-0.2704907227841376"/>
                </c:manualLayout>
              </c:layout>
              <c:tx>
                <c:rich>
                  <a:bodyPr/>
                  <a:lstStyle/>
                  <a:p>
                    <a:r>
                      <a:rPr lang="en-US"/>
                      <a:t>2 579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62B-4752-97EB-16C7ABAD3B02}"/>
                </c:ext>
              </c:extLst>
            </c:dLbl>
            <c:dLbl>
              <c:idx val="6"/>
              <c:layout>
                <c:manualLayout>
                  <c:x val="-2.3698840361625643E-3"/>
                  <c:y val="-0.60677648624549785"/>
                </c:manualLayout>
              </c:layout>
              <c:tx>
                <c:rich>
                  <a:bodyPr/>
                  <a:lstStyle/>
                  <a:p>
                    <a:r>
                      <a:rPr lang="en-US"/>
                      <a:t>5 616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62B-4752-97EB-16C7ABAD3B02}"/>
                </c:ext>
              </c:extLst>
            </c:dLbl>
            <c:dLbl>
              <c:idx val="7"/>
              <c:layout>
                <c:manualLayout>
                  <c:x val="7.1096521084876929E-3"/>
                  <c:y val="-0.17545344180592709"/>
                </c:manualLayout>
              </c:layout>
              <c:tx>
                <c:rich>
                  <a:bodyPr/>
                  <a:lstStyle/>
                  <a:p>
                    <a:r>
                      <a:rPr lang="en-US"/>
                      <a:t>2 027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62B-4752-97EB-16C7ABAD3B02}"/>
                </c:ext>
              </c:extLst>
            </c:dLbl>
            <c:dLbl>
              <c:idx val="8"/>
              <c:layout>
                <c:manualLayout>
                  <c:x val="7.2214410698662667E-3"/>
                  <c:y val="-0.1643570999067806"/>
                </c:manualLayout>
              </c:layout>
              <c:tx>
                <c:rich>
                  <a:bodyPr/>
                  <a:lstStyle/>
                  <a:p>
                    <a:r>
                      <a:rPr lang="en-US"/>
                      <a:t>1 934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62B-4752-97EB-16C7ABAD3B02}"/>
                </c:ext>
              </c:extLst>
            </c:dLbl>
            <c:dLbl>
              <c:idx val="9"/>
              <c:layout>
                <c:manualLayout>
                  <c:x val="9.4328831793122521E-3"/>
                  <c:y val="-0.3838044039504655"/>
                </c:manualLayout>
              </c:layout>
              <c:tx>
                <c:rich>
                  <a:bodyPr/>
                  <a:lstStyle/>
                  <a:p>
                    <a:r>
                      <a:rPr lang="en-US"/>
                      <a:t>3 998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62B-4752-97EB-16C7ABAD3B0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'Экс. по компонент. 2д'!$B$54:$C$63</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'Экс. по компонент. 2д'!$D$54:$D$63</c:f>
              <c:numCache>
                <c:formatCode>_-* #,##0_р_._-;\-* #,##0_р_._-;_-* "-"??_р_._-;_-@_-</c:formatCode>
                <c:ptCount val="10"/>
                <c:pt idx="0">
                  <c:v>1771.0445570628999</c:v>
                </c:pt>
                <c:pt idx="1">
                  <c:v>2490.9652815090899</c:v>
                </c:pt>
                <c:pt idx="2">
                  <c:v>2178.2920784482599</c:v>
                </c:pt>
                <c:pt idx="3">
                  <c:v>2305.9905593889798</c:v>
                </c:pt>
                <c:pt idx="4">
                  <c:v>1565.4387769800001</c:v>
                </c:pt>
                <c:pt idx="5">
                  <c:v>1458.8774725685</c:v>
                </c:pt>
                <c:pt idx="6">
                  <c:v>1933.0969166569998</c:v>
                </c:pt>
                <c:pt idx="7">
                  <c:v>2017.36495000012</c:v>
                </c:pt>
                <c:pt idx="8">
                  <c:v>1924.09382821022</c:v>
                </c:pt>
                <c:pt idx="9">
                  <c:v>2415.78148288383</c:v>
                </c:pt>
              </c:numCache>
            </c:numRef>
          </c:val>
          <c:extLst>
            <c:ext xmlns:c16="http://schemas.microsoft.com/office/drawing/2014/chart" uri="{C3380CC4-5D6E-409C-BE32-E72D297353CC}">
              <c16:uniqueId val="{0000000A-D62B-4752-97EB-16C7ABAD3B02}"/>
            </c:ext>
          </c:extLst>
        </c:ser>
        <c:ser>
          <c:idx val="1"/>
          <c:order val="1"/>
          <c:tx>
            <c:strRef>
              <c:f>'Экс. по компонент. 2д'!$E$49</c:f>
              <c:strCache>
                <c:ptCount val="1"/>
                <c:pt idx="0">
                  <c:v>Shuttle trade</c:v>
                </c:pt>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'Экс. по компонент. 2д'!$B$54:$C$63</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'Экс. по компонент. 2д'!$E$54:$E$63</c:f>
              <c:numCache>
                <c:formatCode>_-* #,##0_р_._-;\-* #,##0_р_._-;_-* "-"??_р_._-;_-@_-</c:formatCode>
                <c:ptCount val="10"/>
                <c:pt idx="0">
                  <c:v>27.1452432306037</c:v>
                </c:pt>
                <c:pt idx="1">
                  <c:v>40.363993707289701</c:v>
                </c:pt>
                <c:pt idx="2">
                  <c:v>58.928164452965397</c:v>
                </c:pt>
                <c:pt idx="3">
                  <c:v>31.0683659646363</c:v>
                </c:pt>
                <c:pt idx="4">
                  <c:v>25.698687309530399</c:v>
                </c:pt>
                <c:pt idx="5">
                  <c:v>0</c:v>
                </c:pt>
                <c:pt idx="6">
                  <c:v>0</c:v>
                </c:pt>
                <c:pt idx="7">
                  <c:v>0</c:v>
                </c:pt>
                <c:pt idx="8">
                  <c:v>0</c:v>
                </c:pt>
                <c:pt idx="9">
                  <c:v>0</c:v>
                </c:pt>
              </c:numCache>
            </c:numRef>
          </c:val>
          <c:extLst>
            <c:ext xmlns:c16="http://schemas.microsoft.com/office/drawing/2014/chart" uri="{C3380CC4-5D6E-409C-BE32-E72D297353CC}">
              <c16:uniqueId val="{0000000B-D62B-4752-97EB-16C7ABAD3B02}"/>
            </c:ext>
          </c:extLst>
        </c:ser>
        <c:ser>
          <c:idx val="2"/>
          <c:order val="2"/>
          <c:tx>
            <c:strRef>
              <c:f>'Экс. по компонент. 2д'!$F$49</c:f>
              <c:strCache>
                <c:ptCount val="1"/>
                <c:pt idx="0">
                  <c:v>Goods in ports</c:v>
                </c:pt>
              </c:strCache>
            </c:strRef>
          </c:tx>
          <c:spPr>
            <a:solidFill>
              <a:schemeClr val="tx1"/>
            </a:solidFill>
            <a:ln>
              <a:noFill/>
            </a:ln>
            <a:effectLst>
              <a:outerShdw blurRad="57150" dist="19050" dir="5400000" algn="ctr" rotWithShape="0">
                <a:srgbClr val="000000">
                  <a:alpha val="63000"/>
                </a:srgbClr>
              </a:outerShdw>
            </a:effectLst>
            <a:sp3d/>
          </c:spPr>
          <c:invertIfNegative val="0"/>
          <c:cat>
            <c:multiLvlStrRef>
              <c:f>'Экс. по компонент. 2д'!$B$54:$C$63</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'Экс. по компонент. 2д'!$F$54:$F$63</c:f>
              <c:numCache>
                <c:formatCode>_-* #,##0_р_._-;\-* #,##0_р_._-;_-* "-"??_р_._-;_-@_-</c:formatCode>
                <c:ptCount val="10"/>
                <c:pt idx="0">
                  <c:v>15.423356128051999</c:v>
                </c:pt>
                <c:pt idx="1">
                  <c:v>19.607492852296954</c:v>
                </c:pt>
                <c:pt idx="2">
                  <c:v>20.957318627906918</c:v>
                </c:pt>
                <c:pt idx="3">
                  <c:v>20.582767429938123</c:v>
                </c:pt>
                <c:pt idx="4">
                  <c:v>12.205860060625502</c:v>
                </c:pt>
                <c:pt idx="5">
                  <c:v>1.6997061214132505</c:v>
                </c:pt>
                <c:pt idx="6">
                  <c:v>3.2347227292197873</c:v>
                </c:pt>
                <c:pt idx="7">
                  <c:v>10.113510883127727</c:v>
                </c:pt>
                <c:pt idx="8">
                  <c:v>9.6367033688340804</c:v>
                </c:pt>
                <c:pt idx="9">
                  <c:v>5.7433705442270355</c:v>
                </c:pt>
              </c:numCache>
            </c:numRef>
          </c:val>
          <c:extLst>
            <c:ext xmlns:c16="http://schemas.microsoft.com/office/drawing/2014/chart" uri="{C3380CC4-5D6E-409C-BE32-E72D297353CC}">
              <c16:uniqueId val="{0000000C-D62B-4752-97EB-16C7ABAD3B02}"/>
            </c:ext>
          </c:extLst>
        </c:ser>
        <c:ser>
          <c:idx val="3"/>
          <c:order val="3"/>
          <c:tx>
            <c:strRef>
              <c:f>'Экс. по компонент. 2д'!$G$49</c:f>
              <c:strCache>
                <c:ptCount val="1"/>
                <c:pt idx="0">
                  <c:v>Non-monetary gold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'Экс. по компонент. 2д'!$B$54:$C$63</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'Экс. по компонент. 2д'!$G$54:$G$63</c:f>
              <c:numCache>
                <c:formatCode>_-* #,##0_р_._-;\-* #,##0_р_._-;_-* "-"??_р_._-;_-@_-</c:formatCode>
                <c:ptCount val="10"/>
                <c:pt idx="0">
                  <c:v>1231.4111293999999</c:v>
                </c:pt>
                <c:pt idx="1">
                  <c:v>863.18637918000002</c:v>
                </c:pt>
                <c:pt idx="2">
                  <c:v>1888.4199729000002</c:v>
                </c:pt>
                <c:pt idx="3">
                  <c:v>935.24</c:v>
                </c:pt>
                <c:pt idx="4">
                  <c:v>1005.9446497499999</c:v>
                </c:pt>
                <c:pt idx="5">
                  <c:v>1118.6680120000001</c:v>
                </c:pt>
                <c:pt idx="6">
                  <c:v>3679.8229999999999</c:v>
                </c:pt>
                <c:pt idx="7">
                  <c:v>0</c:v>
                </c:pt>
                <c:pt idx="8">
                  <c:v>0</c:v>
                </c:pt>
                <c:pt idx="9">
                  <c:v>1576.05296572</c:v>
                </c:pt>
              </c:numCache>
            </c:numRef>
          </c:val>
          <c:extLst>
            <c:ext xmlns:c16="http://schemas.microsoft.com/office/drawing/2014/chart" uri="{C3380CC4-5D6E-409C-BE32-E72D297353CC}">
              <c16:uniqueId val="{0000000D-D62B-4752-97EB-16C7ABAD3B02}"/>
            </c:ext>
          </c:extLst>
        </c:ser>
        <c:dLbls>
          <c:showLegendKey val="0"/>
          <c:showVal val="0"/>
          <c:showCatName val="0"/>
          <c:showSerName val="0"/>
          <c:showPercent val="0"/>
          <c:showBubbleSize val="0"/>
        </c:dLbls>
        <c:gapWidth val="150"/>
        <c:shape val="box"/>
        <c:axId val="517094832"/>
        <c:axId val="517094416"/>
        <c:axId val="0"/>
      </c:bar3DChart>
      <c:catAx>
        <c:axId val="51709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17094416"/>
        <c:crossesAt val="0"/>
        <c:auto val="1"/>
        <c:lblAlgn val="ctr"/>
        <c:lblOffset val="1"/>
        <c:noMultiLvlLbl val="0"/>
      </c:catAx>
      <c:valAx>
        <c:axId val="5170944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7094832"/>
        <c:crosses val="autoZero"/>
        <c:crossBetween val="between"/>
        <c:majorUnit val="500"/>
        <c:min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06"/>
          <c:y val="0.34142614379085062"/>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1713-4816-8140-BB83B9211833}"/>
              </c:ext>
            </c:extLst>
          </c:dPt>
          <c:dPt>
            <c:idx val="1"/>
            <c:bubble3D val="0"/>
            <c:spPr>
              <a:solidFill>
                <a:srgbClr val="FF0000"/>
              </a:solidFill>
            </c:spPr>
            <c:extLst>
              <c:ext xmlns:c16="http://schemas.microsoft.com/office/drawing/2014/chart" uri="{C3380CC4-5D6E-409C-BE32-E72D297353CC}">
                <c16:uniqueId val="{00000003-1713-4816-8140-BB83B9211833}"/>
              </c:ext>
            </c:extLst>
          </c:dPt>
          <c:dPt>
            <c:idx val="3"/>
            <c:bubble3D val="0"/>
            <c:spPr>
              <a:solidFill>
                <a:schemeClr val="bg1">
                  <a:lumMod val="65000"/>
                </a:schemeClr>
              </a:solidFill>
            </c:spPr>
            <c:extLst>
              <c:ext xmlns:c16="http://schemas.microsoft.com/office/drawing/2014/chart" uri="{C3380CC4-5D6E-409C-BE32-E72D297353CC}">
                <c16:uniqueId val="{00000005-1713-4816-8140-BB83B9211833}"/>
              </c:ext>
            </c:extLst>
          </c:dPt>
          <c:dPt>
            <c:idx val="4"/>
            <c:bubble3D val="0"/>
            <c:spPr>
              <a:solidFill>
                <a:srgbClr val="FFC000"/>
              </a:solidFill>
            </c:spPr>
            <c:extLst>
              <c:ext xmlns:c16="http://schemas.microsoft.com/office/drawing/2014/chart" uri="{C3380CC4-5D6E-409C-BE32-E72D297353CC}">
                <c16:uniqueId val="{00000007-1713-4816-8140-BB83B9211833}"/>
              </c:ext>
            </c:extLst>
          </c:dPt>
          <c:dLbls>
            <c:dLbl>
              <c:idx val="0"/>
              <c:layout>
                <c:manualLayout>
                  <c:x val="-2.7877702578147714E-2"/>
                  <c:y val="5.26565030435024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713-4816-8140-BB83B9211833}"/>
                </c:ext>
              </c:extLst>
            </c:dLbl>
            <c:dLbl>
              <c:idx val="1"/>
              <c:layout>
                <c:manualLayout>
                  <c:x val="-0.11631843678403075"/>
                  <c:y val="5.763729888373888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713-4816-8140-BB83B9211833}"/>
                </c:ext>
              </c:extLst>
            </c:dLbl>
            <c:dLbl>
              <c:idx val="2"/>
              <c:layout>
                <c:manualLayout>
                  <c:x val="5.3564411224546908E-2"/>
                  <c:y val="-3.535247632846444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1713-4816-8140-BB83B9211833}"/>
                </c:ext>
              </c:extLst>
            </c:dLbl>
            <c:dLbl>
              <c:idx val="3"/>
              <c:layout>
                <c:manualLayout>
                  <c:x val="-0.12880660820407483"/>
                  <c:y val="1.882069705825778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713-4816-8140-BB83B9211833}"/>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(EN)'!$B$10:$B$14</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(EN)'!$C$10:$C$14</c:f>
              <c:numCache>
                <c:formatCode>0.00</c:formatCode>
                <c:ptCount val="5"/>
                <c:pt idx="0">
                  <c:v>295.2847753240402</c:v>
                </c:pt>
                <c:pt idx="1">
                  <c:v>959.46684555217712</c:v>
                </c:pt>
                <c:pt idx="2">
                  <c:v>16.730589830852306</c:v>
                </c:pt>
                <c:pt idx="3">
                  <c:v>373.23281227294086</c:v>
                </c:pt>
                <c:pt idx="4">
                  <c:v>5340.3937294965472</c:v>
                </c:pt>
              </c:numCache>
            </c:numRef>
          </c:val>
          <c:extLst>
            <c:ext xmlns:c16="http://schemas.microsoft.com/office/drawing/2014/chart" uri="{C3380CC4-5D6E-409C-BE32-E72D297353CC}">
              <c16:uniqueId val="{00000009-1713-4816-8140-BB83B9211833}"/>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8"/>
          <c:y val="0.34142614379085101"/>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8F22-4FC1-8849-9051C28C2656}"/>
              </c:ext>
            </c:extLst>
          </c:dPt>
          <c:dPt>
            <c:idx val="1"/>
            <c:bubble3D val="0"/>
            <c:spPr>
              <a:solidFill>
                <a:srgbClr val="FF0000"/>
              </a:solidFill>
            </c:spPr>
            <c:extLst>
              <c:ext xmlns:c16="http://schemas.microsoft.com/office/drawing/2014/chart" uri="{C3380CC4-5D6E-409C-BE32-E72D297353CC}">
                <c16:uniqueId val="{00000003-8F22-4FC1-8849-9051C28C2656}"/>
              </c:ext>
            </c:extLst>
          </c:dPt>
          <c:dPt>
            <c:idx val="3"/>
            <c:bubble3D val="0"/>
            <c:spPr>
              <a:solidFill>
                <a:schemeClr val="bg1">
                  <a:lumMod val="65000"/>
                </a:schemeClr>
              </a:solidFill>
            </c:spPr>
            <c:extLst>
              <c:ext xmlns:c16="http://schemas.microsoft.com/office/drawing/2014/chart" uri="{C3380CC4-5D6E-409C-BE32-E72D297353CC}">
                <c16:uniqueId val="{00000005-8F22-4FC1-8849-9051C28C2656}"/>
              </c:ext>
            </c:extLst>
          </c:dPt>
          <c:dPt>
            <c:idx val="4"/>
            <c:bubble3D val="0"/>
            <c:spPr>
              <a:solidFill>
                <a:srgbClr val="FFC000"/>
              </a:solidFill>
            </c:spPr>
            <c:extLst>
              <c:ext xmlns:c16="http://schemas.microsoft.com/office/drawing/2014/chart" uri="{C3380CC4-5D6E-409C-BE32-E72D297353CC}">
                <c16:uniqueId val="{00000007-8F22-4FC1-8849-9051C28C2656}"/>
              </c:ext>
            </c:extLst>
          </c:dPt>
          <c:dLbls>
            <c:dLbl>
              <c:idx val="0"/>
              <c:layout>
                <c:manualLayout>
                  <c:x val="1.9236353077816493E-3"/>
                  <c:y val="-1.730329198264147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F22-4FC1-8849-9051C28C2656}"/>
                </c:ext>
              </c:extLst>
            </c:dLbl>
            <c:dLbl>
              <c:idx val="1"/>
              <c:layout>
                <c:manualLayout>
                  <c:x val="-9.2917029616724822E-2"/>
                  <c:y val="7.19665687692689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F22-4FC1-8849-9051C28C2656}"/>
                </c:ext>
              </c:extLst>
            </c:dLbl>
            <c:dLbl>
              <c:idx val="2"/>
              <c:layout>
                <c:manualLayout>
                  <c:x val="4.8784117305458598E-2"/>
                  <c:y val="-1.759552302050000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8F22-4FC1-8849-9051C28C2656}"/>
                </c:ext>
              </c:extLst>
            </c:dLbl>
            <c:dLbl>
              <c:idx val="3"/>
              <c:layout>
                <c:manualLayout>
                  <c:x val="4.7310177119628337E-2"/>
                  <c:y val="4.838936863484270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8F22-4FC1-8849-9051C28C2656}"/>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(EN)'!$B$15:$B$19</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(EN)'!$C$15:$C$19</c:f>
              <c:numCache>
                <c:formatCode>0.00</c:formatCode>
                <c:ptCount val="5"/>
                <c:pt idx="0">
                  <c:v>385.50185923946543</c:v>
                </c:pt>
                <c:pt idx="1">
                  <c:v>1059.2029502085327</c:v>
                </c:pt>
                <c:pt idx="2">
                  <c:v>13.111510521399152</c:v>
                </c:pt>
                <c:pt idx="3">
                  <c:v>367.47459833308943</c:v>
                </c:pt>
                <c:pt idx="4">
                  <c:v>5951.3456428148002</c:v>
                </c:pt>
              </c:numCache>
            </c:numRef>
          </c:val>
          <c:extLst>
            <c:ext xmlns:c16="http://schemas.microsoft.com/office/drawing/2014/chart" uri="{C3380CC4-5D6E-409C-BE32-E72D297353CC}">
              <c16:uniqueId val="{00000009-8F22-4FC1-8849-9051C28C2656}"/>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2"/>
          <c:y val="0.3414261437908509"/>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A909-447C-A74A-D344FEC7B6F1}"/>
              </c:ext>
            </c:extLst>
          </c:dPt>
          <c:dPt>
            <c:idx val="1"/>
            <c:bubble3D val="0"/>
            <c:spPr>
              <a:solidFill>
                <a:schemeClr val="accent6"/>
              </a:solidFill>
            </c:spPr>
            <c:extLst>
              <c:ext xmlns:c16="http://schemas.microsoft.com/office/drawing/2014/chart" uri="{C3380CC4-5D6E-409C-BE32-E72D297353CC}">
                <c16:uniqueId val="{00000003-A909-447C-A74A-D344FEC7B6F1}"/>
              </c:ext>
            </c:extLst>
          </c:dPt>
          <c:dPt>
            <c:idx val="3"/>
            <c:bubble3D val="0"/>
            <c:spPr>
              <a:solidFill>
                <a:schemeClr val="bg1">
                  <a:lumMod val="65000"/>
                </a:schemeClr>
              </a:solidFill>
            </c:spPr>
            <c:extLst>
              <c:ext xmlns:c16="http://schemas.microsoft.com/office/drawing/2014/chart" uri="{C3380CC4-5D6E-409C-BE32-E72D297353CC}">
                <c16:uniqueId val="{00000005-A909-447C-A74A-D344FEC7B6F1}"/>
              </c:ext>
            </c:extLst>
          </c:dPt>
          <c:dPt>
            <c:idx val="4"/>
            <c:bubble3D val="0"/>
            <c:spPr>
              <a:solidFill>
                <a:srgbClr val="FFC000"/>
              </a:solidFill>
            </c:spPr>
            <c:extLst>
              <c:ext xmlns:c16="http://schemas.microsoft.com/office/drawing/2014/chart" uri="{C3380CC4-5D6E-409C-BE32-E72D297353CC}">
                <c16:uniqueId val="{00000007-A909-447C-A74A-D344FEC7B6F1}"/>
              </c:ext>
            </c:extLst>
          </c:dPt>
          <c:dLbls>
            <c:dLbl>
              <c:idx val="1"/>
              <c:layout>
                <c:manualLayout>
                  <c:x val="-4.6822553716608595E-2"/>
                  <c:y val="-3.937345665483130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909-447C-A74A-D344FEC7B6F1}"/>
                </c:ext>
              </c:extLst>
            </c:dLbl>
            <c:dLbl>
              <c:idx val="2"/>
              <c:layout>
                <c:manualLayout>
                  <c:x val="4.8784117305458771E-2"/>
                  <c:y val="1.580648460673008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A909-447C-A74A-D344FEC7B6F1}"/>
                </c:ext>
              </c:extLst>
            </c:dLbl>
            <c:dLbl>
              <c:idx val="3"/>
              <c:layout>
                <c:manualLayout>
                  <c:x val="-0.12784952090592344"/>
                  <c:y val="5.210070281564604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909-447C-A74A-D344FEC7B6F1}"/>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'[мип1 eng.xlsx]банковский сектор диаграмма'!$B$15:$B$19</c:f>
              <c:strCache>
                <c:ptCount val="5"/>
                <c:pt idx="0">
                  <c:v>Direct investment</c:v>
                </c:pt>
                <c:pt idx="1">
                  <c:v>Portfolio investment</c:v>
                </c:pt>
                <c:pt idx="2">
                  <c:v>Financial derivatives</c:v>
                </c:pt>
                <c:pt idx="3">
                  <c:v>Currency and deposits</c:v>
                </c:pt>
                <c:pt idx="4">
                  <c:v>Loans</c:v>
                </c:pt>
              </c:strCache>
            </c:strRef>
          </c:cat>
          <c:val>
            <c:numRef>
              <c:f>'[мип1 eng.xlsx]банковский сектор диаграмма'!$C$15:$C$19</c:f>
              <c:numCache>
                <c:formatCode>General</c:formatCode>
                <c:ptCount val="5"/>
                <c:pt idx="0">
                  <c:v>200.08520224075662</c:v>
                </c:pt>
                <c:pt idx="1">
                  <c:v>17.26214278592083</c:v>
                </c:pt>
                <c:pt idx="2">
                  <c:v>5.2430067912751905</c:v>
                </c:pt>
                <c:pt idx="3">
                  <c:v>81.084472393165129</c:v>
                </c:pt>
                <c:pt idx="4">
                  <c:v>1272.9760194878477</c:v>
                </c:pt>
              </c:numCache>
            </c:numRef>
          </c:val>
          <c:extLst>
            <c:ext xmlns:c16="http://schemas.microsoft.com/office/drawing/2014/chart" uri="{C3380CC4-5D6E-409C-BE32-E72D297353CC}">
              <c16:uniqueId val="{00000009-A909-447C-A74A-D344FEC7B6F1}"/>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23638425710564E-2"/>
          <c:y val="6.6910761154855627E-2"/>
          <c:w val="0.94227656108279267"/>
          <c:h val="0.74608942632170971"/>
        </c:manualLayout>
      </c:layout>
      <c:barChart>
        <c:barDir val="col"/>
        <c:grouping val="stacked"/>
        <c:varyColors val="0"/>
        <c:ser>
          <c:idx val="0"/>
          <c:order val="0"/>
          <c:tx>
            <c:strRef>
              <c:f>'совокупный (en)'!$A$2</c:f>
              <c:strCache>
                <c:ptCount val="1"/>
                <c:pt idx="0">
                  <c:v>Private sector debt</c:v>
                </c:pt>
              </c:strCache>
            </c:strRef>
          </c:tx>
          <c:invertIfNegative val="0"/>
          <c:dLbls>
            <c:spPr>
              <a:noFill/>
              <a:ln>
                <a:noFill/>
              </a:ln>
              <a:effectLst/>
            </c:spPr>
            <c:txPr>
              <a:bodyPr/>
              <a:lstStyle/>
              <a:p>
                <a:pPr>
                  <a:defRPr sz="11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(en)'!$C$1:$K$1</c:f>
              <c:strCache>
                <c:ptCount val="9"/>
                <c:pt idx="0">
                  <c:v>2013</c:v>
                </c:pt>
                <c:pt idx="1">
                  <c:v>2014</c:v>
                </c:pt>
                <c:pt idx="2">
                  <c:v>2015</c:v>
                </c:pt>
                <c:pt idx="3">
                  <c:v>2016</c:v>
                </c:pt>
                <c:pt idx="4">
                  <c:v>2017</c:v>
                </c:pt>
                <c:pt idx="5">
                  <c:v>2018</c:v>
                </c:pt>
                <c:pt idx="6">
                  <c:v>2019</c:v>
                </c:pt>
                <c:pt idx="7">
                  <c:v>2020</c:v>
                </c:pt>
                <c:pt idx="8">
                  <c:v>first half of  2021</c:v>
                </c:pt>
              </c:strCache>
            </c:strRef>
          </c:cat>
          <c:val>
            <c:numRef>
              <c:f>'совокупный (en)'!$C$2:$K$2</c:f>
              <c:numCache>
                <c:formatCode>_-* #,##0.0_р_._-;\-* #,##0.0_р_._-;_-* "-"??_р_._-;_-@_-</c:formatCode>
                <c:ptCount val="9"/>
                <c:pt idx="0">
                  <c:v>5.477567184441412</c:v>
                </c:pt>
                <c:pt idx="1">
                  <c:v>6.8657809768365086</c:v>
                </c:pt>
                <c:pt idx="2">
                  <c:v>7.3029998760376893</c:v>
                </c:pt>
                <c:pt idx="3">
                  <c:v>8.2156863642724254</c:v>
                </c:pt>
                <c:pt idx="4">
                  <c:v>8.1858896114479318</c:v>
                </c:pt>
                <c:pt idx="5">
                  <c:v>7.2074590487087562</c:v>
                </c:pt>
                <c:pt idx="6">
                  <c:v>8.7623918681482138</c:v>
                </c:pt>
                <c:pt idx="7">
                  <c:v>12.4874175079115</c:v>
                </c:pt>
                <c:pt idx="8">
                  <c:v>13.907417457477564</c:v>
                </c:pt>
              </c:numCache>
            </c:numRef>
          </c:val>
          <c:extLst>
            <c:ext xmlns:c16="http://schemas.microsoft.com/office/drawing/2014/chart" uri="{C3380CC4-5D6E-409C-BE32-E72D297353CC}">
              <c16:uniqueId val="{00000000-C3D8-4D3C-A3E9-21BB5A4E5508}"/>
            </c:ext>
          </c:extLst>
        </c:ser>
        <c:ser>
          <c:idx val="1"/>
          <c:order val="1"/>
          <c:tx>
            <c:strRef>
              <c:f>'совокупный (en)'!$A$3</c:f>
              <c:strCache>
                <c:ptCount val="1"/>
                <c:pt idx="0">
                  <c:v>Government debt</c:v>
                </c:pt>
              </c:strCache>
            </c:strRef>
          </c:tx>
          <c:spPr>
            <a:solidFill>
              <a:sysClr val="window" lastClr="FFFFFF">
                <a:lumMod val="85000"/>
              </a:sysClr>
            </a:solidFill>
          </c:spPr>
          <c:invertIfNegative val="0"/>
          <c:dLbls>
            <c:spPr>
              <a:noFill/>
              <a:ln>
                <a:noFill/>
              </a:ln>
              <a:effectLst/>
            </c:spPr>
            <c:txPr>
              <a:bodyPr/>
              <a:lstStyle/>
              <a:p>
                <a:pPr algn="l">
                  <a:defRPr sz="1100">
                    <a:latin typeface="+mn-l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(en)'!$C$1:$K$1</c:f>
              <c:strCache>
                <c:ptCount val="9"/>
                <c:pt idx="0">
                  <c:v>2013</c:v>
                </c:pt>
                <c:pt idx="1">
                  <c:v>2014</c:v>
                </c:pt>
                <c:pt idx="2">
                  <c:v>2015</c:v>
                </c:pt>
                <c:pt idx="3">
                  <c:v>2016</c:v>
                </c:pt>
                <c:pt idx="4">
                  <c:v>2017</c:v>
                </c:pt>
                <c:pt idx="5">
                  <c:v>2018</c:v>
                </c:pt>
                <c:pt idx="6">
                  <c:v>2019</c:v>
                </c:pt>
                <c:pt idx="7">
                  <c:v>2020</c:v>
                </c:pt>
                <c:pt idx="8">
                  <c:v>first half of  2021</c:v>
                </c:pt>
              </c:strCache>
            </c:strRef>
          </c:cat>
          <c:val>
            <c:numRef>
              <c:f>'совокупный (en)'!$C$3:$K$3</c:f>
              <c:numCache>
                <c:formatCode>_-* #,##0.0_р_._-;\-* #,##0.0_р_._-;_-* "-"??_р_._-;_-@_-</c:formatCode>
                <c:ptCount val="9"/>
                <c:pt idx="0">
                  <c:v>3.9315736720782954</c:v>
                </c:pt>
                <c:pt idx="1">
                  <c:v>4.3240059255868042</c:v>
                </c:pt>
                <c:pt idx="2">
                  <c:v>5.6583874380506494</c:v>
                </c:pt>
                <c:pt idx="3">
                  <c:v>6.5213924550630971</c:v>
                </c:pt>
                <c:pt idx="4">
                  <c:v>7.6227854677313287</c:v>
                </c:pt>
                <c:pt idx="5">
                  <c:v>9.9505129057644481</c:v>
                </c:pt>
                <c:pt idx="6">
                  <c:v>15.869611074949232</c:v>
                </c:pt>
                <c:pt idx="7">
                  <c:v>21.3580606865204</c:v>
                </c:pt>
                <c:pt idx="8">
                  <c:v>21.985928902694607</c:v>
                </c:pt>
              </c:numCache>
            </c:numRef>
          </c:val>
          <c:extLst>
            <c:ext xmlns:c16="http://schemas.microsoft.com/office/drawing/2014/chart" uri="{C3380CC4-5D6E-409C-BE32-E72D297353CC}">
              <c16:uniqueId val="{00000001-C3D8-4D3C-A3E9-21BB5A4E5508}"/>
            </c:ext>
          </c:extLst>
        </c:ser>
        <c:dLbls>
          <c:showLegendKey val="0"/>
          <c:showVal val="0"/>
          <c:showCatName val="0"/>
          <c:showSerName val="0"/>
          <c:showPercent val="0"/>
          <c:showBubbleSize val="0"/>
        </c:dLbls>
        <c:gapWidth val="75"/>
        <c:overlap val="100"/>
        <c:axId val="104438784"/>
        <c:axId val="104547072"/>
      </c:barChart>
      <c:lineChart>
        <c:grouping val="standard"/>
        <c:varyColors val="0"/>
        <c:ser>
          <c:idx val="2"/>
          <c:order val="2"/>
          <c:tx>
            <c:strRef>
              <c:f>'совокупный (en)'!$A$4</c:f>
              <c:strCache>
                <c:ptCount val="1"/>
                <c:pt idx="0">
                  <c:v>Total external debt</c:v>
                </c:pt>
              </c:strCache>
            </c:strRef>
          </c:tx>
          <c:spPr>
            <a:ln>
              <a:solidFill>
                <a:srgbClr val="5B9BD5"/>
              </a:solidFill>
            </a:ln>
          </c:spPr>
          <c:marker>
            <c:symbol val="circle"/>
            <c:size val="8"/>
            <c:spPr>
              <a:solidFill>
                <a:srgbClr val="5B9BD5"/>
              </a:solidFill>
              <a:ln>
                <a:solidFill>
                  <a:srgbClr val="E7E6E6"/>
                </a:solidFill>
              </a:ln>
            </c:spPr>
          </c:marker>
          <c:dLbls>
            <c:spPr>
              <a:noFill/>
              <a:ln>
                <a:noFill/>
              </a:ln>
              <a:effectLst/>
            </c:spPr>
            <c:txPr>
              <a:bodyPr/>
              <a:lstStyle/>
              <a:p>
                <a:pPr>
                  <a:defRPr sz="1100">
                    <a:solidFill>
                      <a:sysClr val="windowText" lastClr="00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(en)'!$C$1:$K$1</c:f>
              <c:strCache>
                <c:ptCount val="9"/>
                <c:pt idx="0">
                  <c:v>2013</c:v>
                </c:pt>
                <c:pt idx="1">
                  <c:v>2014</c:v>
                </c:pt>
                <c:pt idx="2">
                  <c:v>2015</c:v>
                </c:pt>
                <c:pt idx="3">
                  <c:v>2016</c:v>
                </c:pt>
                <c:pt idx="4">
                  <c:v>2017</c:v>
                </c:pt>
                <c:pt idx="5">
                  <c:v>2018</c:v>
                </c:pt>
                <c:pt idx="6">
                  <c:v>2019</c:v>
                </c:pt>
                <c:pt idx="7">
                  <c:v>2020</c:v>
                </c:pt>
                <c:pt idx="8">
                  <c:v>first half of  2021</c:v>
                </c:pt>
              </c:strCache>
            </c:strRef>
          </c:cat>
          <c:val>
            <c:numRef>
              <c:f>'совокупный (en)'!$C$4:$K$4</c:f>
              <c:numCache>
                <c:formatCode>_-* #,##0.0_р_._-;\-* #,##0.0_р_._-;_-* "-"??_р_._-;_-@_-</c:formatCode>
                <c:ptCount val="9"/>
                <c:pt idx="0">
                  <c:v>9.4091408565197074</c:v>
                </c:pt>
                <c:pt idx="1">
                  <c:v>11.189786902423313</c:v>
                </c:pt>
                <c:pt idx="2">
                  <c:v>12.961387314088338</c:v>
                </c:pt>
                <c:pt idx="3">
                  <c:v>14.737078819335522</c:v>
                </c:pt>
                <c:pt idx="4">
                  <c:v>15.80867507917926</c:v>
                </c:pt>
                <c:pt idx="5">
                  <c:v>17.157971954473204</c:v>
                </c:pt>
                <c:pt idx="6">
                  <c:v>24.632002943097447</c:v>
                </c:pt>
                <c:pt idx="7">
                  <c:v>33.845478194431898</c:v>
                </c:pt>
                <c:pt idx="8">
                  <c:v>35.893346360172174</c:v>
                </c:pt>
              </c:numCache>
            </c:numRef>
          </c:val>
          <c:smooth val="0"/>
          <c:extLst>
            <c:ext xmlns:c16="http://schemas.microsoft.com/office/drawing/2014/chart" uri="{C3380CC4-5D6E-409C-BE32-E72D297353CC}">
              <c16:uniqueId val="{00000002-C3D8-4D3C-A3E9-21BB5A4E5508}"/>
            </c:ext>
          </c:extLst>
        </c:ser>
        <c:dLbls>
          <c:showLegendKey val="0"/>
          <c:showVal val="0"/>
          <c:showCatName val="0"/>
          <c:showSerName val="0"/>
          <c:showPercent val="0"/>
          <c:showBubbleSize val="0"/>
        </c:dLbls>
        <c:marker val="1"/>
        <c:smooth val="0"/>
        <c:axId val="104438784"/>
        <c:axId val="104547072"/>
      </c:lineChart>
      <c:dateAx>
        <c:axId val="104438784"/>
        <c:scaling>
          <c:orientation val="minMax"/>
        </c:scaling>
        <c:delete val="0"/>
        <c:axPos val="b"/>
        <c:numFmt formatCode="General" sourceLinked="0"/>
        <c:majorTickMark val="out"/>
        <c:minorTickMark val="none"/>
        <c:tickLblPos val="nextTo"/>
        <c:txPr>
          <a:bodyPr/>
          <a:lstStyle/>
          <a:p>
            <a:pPr>
              <a:defRPr sz="1100"/>
            </a:pPr>
            <a:endParaRPr lang="ru-RU"/>
          </a:p>
        </c:txPr>
        <c:crossAx val="104547072"/>
        <c:crosses val="autoZero"/>
        <c:auto val="0"/>
        <c:lblOffset val="100"/>
        <c:baseTimeUnit val="days"/>
      </c:dateAx>
      <c:valAx>
        <c:axId val="104547072"/>
        <c:scaling>
          <c:orientation val="minMax"/>
          <c:max val="36"/>
          <c:min val="0"/>
        </c:scaling>
        <c:delete val="0"/>
        <c:axPos val="l"/>
        <c:numFmt formatCode="0" sourceLinked="0"/>
        <c:majorTickMark val="out"/>
        <c:minorTickMark val="none"/>
        <c:tickLblPos val="nextTo"/>
        <c:spPr>
          <a:ln w="6350">
            <a:solidFill>
              <a:schemeClr val="accent1"/>
            </a:solidFill>
          </a:ln>
        </c:spPr>
        <c:txPr>
          <a:bodyPr/>
          <a:lstStyle/>
          <a:p>
            <a:pPr>
              <a:defRPr sz="1100">
                <a:solidFill>
                  <a:sysClr val="windowText" lastClr="000000"/>
                </a:solidFill>
              </a:defRPr>
            </a:pPr>
            <a:endParaRPr lang="ru-RU"/>
          </a:p>
        </c:txPr>
        <c:crossAx val="104438784"/>
        <c:crosses val="autoZero"/>
        <c:crossBetween val="between"/>
        <c:majorUnit val="3"/>
      </c:valAx>
    </c:plotArea>
    <c:legend>
      <c:legendPos val="r"/>
      <c:layout>
        <c:manualLayout>
          <c:xMode val="edge"/>
          <c:yMode val="edge"/>
          <c:x val="0"/>
          <c:y val="0.88964304461942256"/>
          <c:w val="0.96746807188991402"/>
          <c:h val="0.11035704433375385"/>
        </c:manualLayout>
      </c:layout>
      <c:overlay val="0"/>
      <c:txPr>
        <a:bodyPr/>
        <a:lstStyle/>
        <a:p>
          <a:pPr>
            <a:defRPr sz="1100">
              <a:solidFill>
                <a:sysClr val="windowText" lastClr="000000"/>
              </a:solidFill>
            </a:defRPr>
          </a:pPr>
          <a:endParaRPr lang="ru-RU"/>
        </a:p>
      </c:txPr>
    </c:legend>
    <c:plotVisOnly val="1"/>
    <c:dispBlanksAs val="gap"/>
    <c:showDLblsOverMax val="0"/>
  </c:chart>
  <c:spPr>
    <a:ln>
      <a:solidFill>
        <a:srgbClr val="E7E6E6"/>
      </a:solidFill>
    </a:ln>
  </c:spPr>
  <c:txPr>
    <a:bodyPr/>
    <a:lstStyle/>
    <a:p>
      <a:pPr>
        <a:defRPr sz="1400">
          <a:solidFill>
            <a:sysClr val="windowText" lastClr="000000"/>
          </a:solidFill>
          <a:latin typeface="+mn-lt"/>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77224613270097E-2"/>
          <c:y val="3.2627206029770837E-2"/>
          <c:w val="0.90783614586692873"/>
          <c:h val="0.72835670848850442"/>
        </c:manualLayout>
      </c:layout>
      <c:barChart>
        <c:barDir val="col"/>
        <c:grouping val="clustered"/>
        <c:varyColors val="0"/>
        <c:ser>
          <c:idx val="0"/>
          <c:order val="0"/>
          <c:tx>
            <c:strRef>
              <c:f>'привлечение долга (Д-20)'!$B$22</c:f>
              <c:strCache>
                <c:ptCount val="1"/>
                <c:pt idx="0">
                  <c:v>Government debt</c:v>
                </c:pt>
              </c:strCache>
            </c:strRef>
          </c:tx>
          <c:spPr>
            <a:solidFill>
              <a:schemeClr val="tx2"/>
            </a:solidFill>
          </c:spPr>
          <c:invertIfNegative val="0"/>
          <c:cat>
            <c:strRef>
              <c:f>'привлечение долга (Д-20)'!$F$19:$G$19</c:f>
              <c:strCache>
                <c:ptCount val="2"/>
                <c:pt idx="0">
                  <c:v>The first half of 2020</c:v>
                </c:pt>
                <c:pt idx="1">
                  <c:v>The first half of 2021</c:v>
                </c:pt>
              </c:strCache>
            </c:strRef>
          </c:cat>
          <c:val>
            <c:numRef>
              <c:f>'привлечение долга (Д-20)'!$F$22:$G$22</c:f>
              <c:numCache>
                <c:formatCode>_-* #,##0.0_р_._-;\-* #,##0.0_р_._-;_-* "-"??_р_._-;_-@_-</c:formatCode>
                <c:ptCount val="2"/>
                <c:pt idx="0">
                  <c:v>2027.0592265150001</c:v>
                </c:pt>
                <c:pt idx="1">
                  <c:v>1217.530848465</c:v>
                </c:pt>
              </c:numCache>
            </c:numRef>
          </c:val>
          <c:extLst>
            <c:ext xmlns:c16="http://schemas.microsoft.com/office/drawing/2014/chart" uri="{C3380CC4-5D6E-409C-BE32-E72D297353CC}">
              <c16:uniqueId val="{00000000-3F25-4FA9-A431-0E3DD46CFC6E}"/>
            </c:ext>
          </c:extLst>
        </c:ser>
        <c:ser>
          <c:idx val="1"/>
          <c:order val="1"/>
          <c:tx>
            <c:strRef>
              <c:f>'привлечение долга (Д-20)'!$B$23</c:f>
              <c:strCache>
                <c:ptCount val="1"/>
                <c:pt idx="0">
                  <c:v>Oil and gas and energy sector</c:v>
                </c:pt>
              </c:strCache>
            </c:strRef>
          </c:tx>
          <c:invertIfNegative val="0"/>
          <c:cat>
            <c:strRef>
              <c:f>'привлечение долга (Д-20)'!$F$19:$G$19</c:f>
              <c:strCache>
                <c:ptCount val="2"/>
                <c:pt idx="0">
                  <c:v>The first half of 2020</c:v>
                </c:pt>
                <c:pt idx="1">
                  <c:v>The first half of 2021</c:v>
                </c:pt>
              </c:strCache>
            </c:strRef>
          </c:cat>
          <c:val>
            <c:numRef>
              <c:f>'привлечение долга (Д-20)'!$F$23:$G$23</c:f>
              <c:numCache>
                <c:formatCode>_-* #,##0.0_р_._-;\-* #,##0.0_р_._-;_-* "-"??_р_._-;_-@_-</c:formatCode>
                <c:ptCount val="2"/>
                <c:pt idx="0">
                  <c:v>10.568408</c:v>
                </c:pt>
                <c:pt idx="1">
                  <c:v>379.042233965908</c:v>
                </c:pt>
              </c:numCache>
            </c:numRef>
          </c:val>
          <c:extLst>
            <c:ext xmlns:c16="http://schemas.microsoft.com/office/drawing/2014/chart" uri="{C3380CC4-5D6E-409C-BE32-E72D297353CC}">
              <c16:uniqueId val="{00000001-3F25-4FA9-A431-0E3DD46CFC6E}"/>
            </c:ext>
          </c:extLst>
        </c:ser>
        <c:ser>
          <c:idx val="2"/>
          <c:order val="2"/>
          <c:tx>
            <c:strRef>
              <c:f>'привлечение долга (Д-20)'!$B$24</c:f>
              <c:strCache>
                <c:ptCount val="1"/>
                <c:pt idx="0">
                  <c:v>Telecommunications sector</c:v>
                </c:pt>
              </c:strCache>
            </c:strRef>
          </c:tx>
          <c:spPr>
            <a:solidFill>
              <a:srgbClr val="C00000"/>
            </a:solidFill>
          </c:spPr>
          <c:invertIfNegative val="0"/>
          <c:cat>
            <c:strRef>
              <c:f>'привлечение долга (Д-20)'!$F$19:$G$19</c:f>
              <c:strCache>
                <c:ptCount val="2"/>
                <c:pt idx="0">
                  <c:v>The first half of 2020</c:v>
                </c:pt>
                <c:pt idx="1">
                  <c:v>The first half of 2021</c:v>
                </c:pt>
              </c:strCache>
            </c:strRef>
          </c:cat>
          <c:val>
            <c:numRef>
              <c:f>'привлечение долга (Д-20)'!$F$24:$G$24</c:f>
              <c:numCache>
                <c:formatCode>_-* #,##0.0_р_._-;\-* #,##0.0_р_._-;_-* "-"??_р_._-;_-@_-</c:formatCode>
                <c:ptCount val="2"/>
                <c:pt idx="0">
                  <c:v>6.5763253411817297</c:v>
                </c:pt>
                <c:pt idx="1">
                  <c:v>2.6380618004367302</c:v>
                </c:pt>
              </c:numCache>
            </c:numRef>
          </c:val>
          <c:extLst>
            <c:ext xmlns:c16="http://schemas.microsoft.com/office/drawing/2014/chart" uri="{C3380CC4-5D6E-409C-BE32-E72D297353CC}">
              <c16:uniqueId val="{00000002-3F25-4FA9-A431-0E3DD46CFC6E}"/>
            </c:ext>
          </c:extLst>
        </c:ser>
        <c:ser>
          <c:idx val="3"/>
          <c:order val="3"/>
          <c:tx>
            <c:strRef>
              <c:f>'привлечение долга (Д-20)'!$B$25</c:f>
              <c:strCache>
                <c:ptCount val="1"/>
                <c:pt idx="0">
                  <c:v>Banking sector</c:v>
                </c:pt>
              </c:strCache>
            </c:strRef>
          </c:tx>
          <c:invertIfNegative val="0"/>
          <c:cat>
            <c:strRef>
              <c:f>'привлечение долга (Д-20)'!$F$19:$G$19</c:f>
              <c:strCache>
                <c:ptCount val="2"/>
                <c:pt idx="0">
                  <c:v>The first half of 2020</c:v>
                </c:pt>
                <c:pt idx="1">
                  <c:v>The first half of 2021</c:v>
                </c:pt>
              </c:strCache>
            </c:strRef>
          </c:cat>
          <c:val>
            <c:numRef>
              <c:f>'привлечение долга (Д-20)'!$F$25:$G$25</c:f>
              <c:numCache>
                <c:formatCode>_-* #,##0.0_р_._-;\-* #,##0.0_р_._-;_-* "-"??_р_._-;_-@_-</c:formatCode>
                <c:ptCount val="2"/>
                <c:pt idx="0">
                  <c:v>1800.80527627935</c:v>
                </c:pt>
                <c:pt idx="1">
                  <c:v>1595.2688372857303</c:v>
                </c:pt>
              </c:numCache>
            </c:numRef>
          </c:val>
          <c:extLst>
            <c:ext xmlns:c16="http://schemas.microsoft.com/office/drawing/2014/chart" uri="{C3380CC4-5D6E-409C-BE32-E72D297353CC}">
              <c16:uniqueId val="{00000003-3F25-4FA9-A431-0E3DD46CFC6E}"/>
            </c:ext>
          </c:extLst>
        </c:ser>
        <c:ser>
          <c:idx val="4"/>
          <c:order val="4"/>
          <c:tx>
            <c:strRef>
              <c:f>'привлечение долга (Д-20)'!$B$26</c:f>
              <c:strCache>
                <c:ptCount val="1"/>
                <c:pt idx="0">
                  <c:v>Textile sector</c:v>
                </c:pt>
              </c:strCache>
            </c:strRef>
          </c:tx>
          <c:invertIfNegative val="0"/>
          <c:cat>
            <c:strRef>
              <c:f>'привлечение долга (Д-20)'!$F$19:$G$19</c:f>
              <c:strCache>
                <c:ptCount val="2"/>
                <c:pt idx="0">
                  <c:v>The first half of 2020</c:v>
                </c:pt>
                <c:pt idx="1">
                  <c:v>The first half of 2021</c:v>
                </c:pt>
              </c:strCache>
            </c:strRef>
          </c:cat>
          <c:val>
            <c:numRef>
              <c:f>'привлечение долга (Д-20)'!$F$26:$G$26</c:f>
              <c:numCache>
                <c:formatCode>_-* #,##0.0_р_._-;\-* #,##0.0_р_._-;_-* "-"??_р_._-;_-@_-</c:formatCode>
                <c:ptCount val="2"/>
                <c:pt idx="0">
                  <c:v>70.938207539975494</c:v>
                </c:pt>
                <c:pt idx="1">
                  <c:v>36.464020275116702</c:v>
                </c:pt>
              </c:numCache>
            </c:numRef>
          </c:val>
          <c:extLst>
            <c:ext xmlns:c16="http://schemas.microsoft.com/office/drawing/2014/chart" uri="{C3380CC4-5D6E-409C-BE32-E72D297353CC}">
              <c16:uniqueId val="{00000004-3F25-4FA9-A431-0E3DD46CFC6E}"/>
            </c:ext>
          </c:extLst>
        </c:ser>
        <c:ser>
          <c:idx val="5"/>
          <c:order val="5"/>
          <c:tx>
            <c:strRef>
              <c:f>'привлечение долга (Д-20)'!$B$27</c:f>
              <c:strCache>
                <c:ptCount val="1"/>
                <c:pt idx="0">
                  <c:v>Other sectors</c:v>
                </c:pt>
              </c:strCache>
            </c:strRef>
          </c:tx>
          <c:invertIfNegative val="0"/>
          <c:cat>
            <c:strRef>
              <c:f>'привлечение долга (Д-20)'!$F$19:$G$19</c:f>
              <c:strCache>
                <c:ptCount val="2"/>
                <c:pt idx="0">
                  <c:v>The first half of 2020</c:v>
                </c:pt>
                <c:pt idx="1">
                  <c:v>The first half of 2021</c:v>
                </c:pt>
              </c:strCache>
            </c:strRef>
          </c:cat>
          <c:val>
            <c:numRef>
              <c:f>'привлечение долга (Д-20)'!$F$27:$G$27</c:f>
              <c:numCache>
                <c:formatCode>_-* #,##0.0_р_._-;\-* #,##0.0_р_._-;_-* "-"??_р_._-;_-@_-</c:formatCode>
                <c:ptCount val="2"/>
                <c:pt idx="0">
                  <c:v>155.46438586220199</c:v>
                </c:pt>
                <c:pt idx="1">
                  <c:v>1148.778941040717</c:v>
                </c:pt>
              </c:numCache>
            </c:numRef>
          </c:val>
          <c:extLst>
            <c:ext xmlns:c16="http://schemas.microsoft.com/office/drawing/2014/chart" uri="{C3380CC4-5D6E-409C-BE32-E72D297353CC}">
              <c16:uniqueId val="{00000005-3F25-4FA9-A431-0E3DD46CFC6E}"/>
            </c:ext>
          </c:extLst>
        </c:ser>
        <c:dLbls>
          <c:showLegendKey val="0"/>
          <c:showVal val="0"/>
          <c:showCatName val="0"/>
          <c:showSerName val="0"/>
          <c:showPercent val="0"/>
          <c:showBubbleSize val="0"/>
        </c:dLbls>
        <c:gapWidth val="75"/>
        <c:overlap val="-25"/>
        <c:axId val="98828288"/>
        <c:axId val="98829824"/>
      </c:barChart>
      <c:catAx>
        <c:axId val="98828288"/>
        <c:scaling>
          <c:orientation val="minMax"/>
        </c:scaling>
        <c:delete val="0"/>
        <c:axPos val="b"/>
        <c:majorGridlines/>
        <c:numFmt formatCode="General" sourceLinked="1"/>
        <c:majorTickMark val="out"/>
        <c:minorTickMark val="none"/>
        <c:tickLblPos val="nextTo"/>
        <c:txPr>
          <a:bodyPr rot="-60000000" vert="horz"/>
          <a:lstStyle/>
          <a:p>
            <a:pPr>
              <a:defRPr sz="900">
                <a:latin typeface="+mn-lt"/>
                <a:cs typeface="Times New Roman" panose="02020603050405020304" pitchFamily="18" charset="0"/>
              </a:defRPr>
            </a:pPr>
            <a:endParaRPr lang="ru-RU"/>
          </a:p>
        </c:txPr>
        <c:crossAx val="98829824"/>
        <c:crosses val="autoZero"/>
        <c:auto val="1"/>
        <c:lblAlgn val="ctr"/>
        <c:lblOffset val="100"/>
        <c:noMultiLvlLbl val="0"/>
      </c:catAx>
      <c:valAx>
        <c:axId val="98829824"/>
        <c:scaling>
          <c:orientation val="minMax"/>
          <c:max val="2200"/>
          <c:min val="0"/>
        </c:scaling>
        <c:delete val="0"/>
        <c:axPos val="r"/>
        <c:numFmt formatCode="_(* #,##0_);_(* \(#,##0\);_(* &quot;-&quot;_);_(@_)" sourceLinked="0"/>
        <c:majorTickMark val="out"/>
        <c:minorTickMark val="none"/>
        <c:tickLblPos val="nextTo"/>
        <c:spPr>
          <a:ln w="6350">
            <a:noFill/>
          </a:ln>
        </c:spPr>
        <c:txPr>
          <a:bodyPr rot="-60000000" vert="horz"/>
          <a:lstStyle/>
          <a:p>
            <a:pPr>
              <a:defRPr sz="900">
                <a:latin typeface="+mn-lt"/>
                <a:cs typeface="Times New Roman" panose="02020603050405020304" pitchFamily="18" charset="0"/>
              </a:defRPr>
            </a:pPr>
            <a:endParaRPr lang="ru-RU"/>
          </a:p>
        </c:txPr>
        <c:crossAx val="98828288"/>
        <c:crosses val="max"/>
        <c:crossBetween val="between"/>
        <c:majorUnit val="200"/>
      </c:valAx>
      <c:spPr>
        <a:noFill/>
        <a:ln w="25400">
          <a:noFill/>
        </a:ln>
      </c:spPr>
    </c:plotArea>
    <c:legend>
      <c:legendPos val="b"/>
      <c:layout>
        <c:manualLayout>
          <c:xMode val="edge"/>
          <c:yMode val="edge"/>
          <c:x val="8.0254593175853022E-3"/>
          <c:y val="0.86421161981903316"/>
          <c:w val="0.97147818473304282"/>
          <c:h val="0.13315054456853759"/>
        </c:manualLayout>
      </c:layout>
      <c:overlay val="0"/>
      <c:txPr>
        <a:bodyPr rot="0" vert="horz"/>
        <a:lstStyle/>
        <a:p>
          <a:pPr>
            <a:defRPr sz="900">
              <a:latin typeface="+mn-lt"/>
              <a:cs typeface="Arial" panose="020B0604020202020204" pitchFamily="34" charset="0"/>
            </a:defRPr>
          </a:pPr>
          <a:endParaRPr lang="ru-RU"/>
        </a:p>
      </c:txPr>
    </c:legend>
    <c:plotVisOnly val="1"/>
    <c:dispBlanksAs val="gap"/>
    <c:showDLblsOverMax val="0"/>
  </c:chart>
  <c:spPr>
    <a:solidFill>
      <a:schemeClr val="bg1"/>
    </a:solidFill>
    <a:ln>
      <a:noFill/>
    </a:ln>
  </c:spPr>
  <c:txPr>
    <a:bodyPr anchor="t" anchorCtr="0"/>
    <a:lstStyle/>
    <a:p>
      <a:pPr>
        <a:defRPr>
          <a:latin typeface="Arial" pitchFamily="34" charset="0"/>
          <a:cs typeface="Arial" pitchFamily="34"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644952737809394E-2"/>
          <c:y val="3.4959882535940671E-2"/>
          <c:w val="0.91311078649884136"/>
          <c:h val="0.71870907870745937"/>
        </c:manualLayout>
      </c:layout>
      <c:barChart>
        <c:barDir val="col"/>
        <c:grouping val="clustered"/>
        <c:varyColors val="0"/>
        <c:ser>
          <c:idx val="0"/>
          <c:order val="0"/>
          <c:tx>
            <c:strRef>
              <c:f>'выплата осн. долга (Д-21)'!$B$15</c:f>
              <c:strCache>
                <c:ptCount val="1"/>
                <c:pt idx="0">
                  <c:v>Government debt</c:v>
                </c:pt>
              </c:strCache>
            </c:strRef>
          </c:tx>
          <c:spPr>
            <a:solidFill>
              <a:schemeClr val="tx2"/>
            </a:solidFill>
          </c:spPr>
          <c:invertIfNegative val="0"/>
          <c:cat>
            <c:strRef>
              <c:f>'выплата осн. долга (Д-21)'!$F$12:$G$12</c:f>
              <c:strCache>
                <c:ptCount val="2"/>
                <c:pt idx="0">
                  <c:v>The first half of 2020</c:v>
                </c:pt>
                <c:pt idx="1">
                  <c:v>The first half of 2021</c:v>
                </c:pt>
              </c:strCache>
            </c:strRef>
          </c:cat>
          <c:val>
            <c:numRef>
              <c:f>'выплата осн. долга (Д-21)'!$F$15:$G$15</c:f>
              <c:numCache>
                <c:formatCode>_-* #,##0.0_р_._-;\-* #,##0.0_р_._-;_-* "-"??_р_._-;_-@_-</c:formatCode>
                <c:ptCount val="2"/>
                <c:pt idx="0">
                  <c:v>260.64501503999998</c:v>
                </c:pt>
                <c:pt idx="1">
                  <c:v>353.37165320646665</c:v>
                </c:pt>
              </c:numCache>
            </c:numRef>
          </c:val>
          <c:extLst>
            <c:ext xmlns:c16="http://schemas.microsoft.com/office/drawing/2014/chart" uri="{C3380CC4-5D6E-409C-BE32-E72D297353CC}">
              <c16:uniqueId val="{00000000-B11E-444C-9447-F22E5190B7DA}"/>
            </c:ext>
          </c:extLst>
        </c:ser>
        <c:ser>
          <c:idx val="1"/>
          <c:order val="1"/>
          <c:tx>
            <c:strRef>
              <c:f>'выплата осн. долга (Д-21)'!$B$16</c:f>
              <c:strCache>
                <c:ptCount val="1"/>
                <c:pt idx="0">
                  <c:v>Oil and gas and energy sector</c:v>
                </c:pt>
              </c:strCache>
            </c:strRef>
          </c:tx>
          <c:spPr>
            <a:solidFill>
              <a:schemeClr val="accent2"/>
            </a:solidFill>
          </c:spPr>
          <c:invertIfNegative val="0"/>
          <c:cat>
            <c:strRef>
              <c:f>'выплата осн. долга (Д-21)'!$F$12:$G$12</c:f>
              <c:strCache>
                <c:ptCount val="2"/>
                <c:pt idx="0">
                  <c:v>The first half of 2020</c:v>
                </c:pt>
                <c:pt idx="1">
                  <c:v>The first half of 2021</c:v>
                </c:pt>
              </c:strCache>
            </c:strRef>
          </c:cat>
          <c:val>
            <c:numRef>
              <c:f>'выплата осн. долга (Д-21)'!$F$16:$G$16</c:f>
              <c:numCache>
                <c:formatCode>_-* #,##0.0_р_._-;\-* #,##0.0_р_._-;_-* "-"??_р_._-;_-@_-</c:formatCode>
                <c:ptCount val="2"/>
                <c:pt idx="0">
                  <c:v>352.412594740538</c:v>
                </c:pt>
                <c:pt idx="1">
                  <c:v>566.95415535504605</c:v>
                </c:pt>
              </c:numCache>
            </c:numRef>
          </c:val>
          <c:extLst>
            <c:ext xmlns:c16="http://schemas.microsoft.com/office/drawing/2014/chart" uri="{C3380CC4-5D6E-409C-BE32-E72D297353CC}">
              <c16:uniqueId val="{00000001-B11E-444C-9447-F22E5190B7DA}"/>
            </c:ext>
          </c:extLst>
        </c:ser>
        <c:ser>
          <c:idx val="2"/>
          <c:order val="2"/>
          <c:tx>
            <c:strRef>
              <c:f>'выплата осн. долга (Д-21)'!$B$17</c:f>
              <c:strCache>
                <c:ptCount val="1"/>
                <c:pt idx="0">
                  <c:v>Telecommunications sector</c:v>
                </c:pt>
              </c:strCache>
            </c:strRef>
          </c:tx>
          <c:spPr>
            <a:solidFill>
              <a:srgbClr val="C00000"/>
            </a:solidFill>
          </c:spPr>
          <c:invertIfNegative val="0"/>
          <c:cat>
            <c:strRef>
              <c:f>'выплата осн. долга (Д-21)'!$F$12:$G$12</c:f>
              <c:strCache>
                <c:ptCount val="2"/>
                <c:pt idx="0">
                  <c:v>The first half of 2020</c:v>
                </c:pt>
                <c:pt idx="1">
                  <c:v>The first half of 2021</c:v>
                </c:pt>
              </c:strCache>
            </c:strRef>
          </c:cat>
          <c:val>
            <c:numRef>
              <c:f>'выплата осн. долга (Д-21)'!$F$17:$G$17</c:f>
              <c:numCache>
                <c:formatCode>_-* #,##0.0_р_._-;\-* #,##0.0_р_._-;_-* "-"??_р_._-;_-@_-</c:formatCode>
                <c:ptCount val="2"/>
                <c:pt idx="0">
                  <c:v>28.2639937</c:v>
                </c:pt>
                <c:pt idx="1">
                  <c:v>16.8643219101988</c:v>
                </c:pt>
              </c:numCache>
            </c:numRef>
          </c:val>
          <c:extLst>
            <c:ext xmlns:c16="http://schemas.microsoft.com/office/drawing/2014/chart" uri="{C3380CC4-5D6E-409C-BE32-E72D297353CC}">
              <c16:uniqueId val="{00000002-B11E-444C-9447-F22E5190B7DA}"/>
            </c:ext>
          </c:extLst>
        </c:ser>
        <c:ser>
          <c:idx val="3"/>
          <c:order val="3"/>
          <c:tx>
            <c:strRef>
              <c:f>'выплата осн. долга (Д-21)'!$B$18</c:f>
              <c:strCache>
                <c:ptCount val="1"/>
                <c:pt idx="0">
                  <c:v>Banking sector</c:v>
                </c:pt>
              </c:strCache>
            </c:strRef>
          </c:tx>
          <c:invertIfNegative val="0"/>
          <c:cat>
            <c:strRef>
              <c:f>'выплата осн. долга (Д-21)'!$F$12:$G$12</c:f>
              <c:strCache>
                <c:ptCount val="2"/>
                <c:pt idx="0">
                  <c:v>The first half of 2020</c:v>
                </c:pt>
                <c:pt idx="1">
                  <c:v>The first half of 2021</c:v>
                </c:pt>
              </c:strCache>
            </c:strRef>
          </c:cat>
          <c:val>
            <c:numRef>
              <c:f>'выплата осн. долга (Д-21)'!$F$18:$G$18</c:f>
              <c:numCache>
                <c:formatCode>_-* #,##0.0_р_._-;\-* #,##0.0_р_._-;_-* "-"??_р_._-;_-@_-</c:formatCode>
                <c:ptCount val="2"/>
                <c:pt idx="0">
                  <c:v>281.17555856108203</c:v>
                </c:pt>
                <c:pt idx="1">
                  <c:v>842.13823637300902</c:v>
                </c:pt>
              </c:numCache>
            </c:numRef>
          </c:val>
          <c:extLst>
            <c:ext xmlns:c16="http://schemas.microsoft.com/office/drawing/2014/chart" uri="{C3380CC4-5D6E-409C-BE32-E72D297353CC}">
              <c16:uniqueId val="{00000003-B11E-444C-9447-F22E5190B7DA}"/>
            </c:ext>
          </c:extLst>
        </c:ser>
        <c:ser>
          <c:idx val="4"/>
          <c:order val="4"/>
          <c:tx>
            <c:strRef>
              <c:f>'выплата осн. долга (Д-21)'!$B$19</c:f>
              <c:strCache>
                <c:ptCount val="1"/>
                <c:pt idx="0">
                  <c:v>Textile sector</c:v>
                </c:pt>
              </c:strCache>
            </c:strRef>
          </c:tx>
          <c:invertIfNegative val="0"/>
          <c:cat>
            <c:strRef>
              <c:f>'выплата осн. долга (Д-21)'!$F$12:$G$12</c:f>
              <c:strCache>
                <c:ptCount val="2"/>
                <c:pt idx="0">
                  <c:v>The first half of 2020</c:v>
                </c:pt>
                <c:pt idx="1">
                  <c:v>The first half of 2021</c:v>
                </c:pt>
              </c:strCache>
            </c:strRef>
          </c:cat>
          <c:val>
            <c:numRef>
              <c:f>'выплата осн. долга (Д-21)'!$F$19:$G$19</c:f>
              <c:numCache>
                <c:formatCode>_-* #,##0.0_р_._-;\-* #,##0.0_р_._-;_-* "-"??_р_._-;_-@_-</c:formatCode>
                <c:ptCount val="2"/>
                <c:pt idx="0">
                  <c:v>15.19300922</c:v>
                </c:pt>
                <c:pt idx="1">
                  <c:v>24.67168302</c:v>
                </c:pt>
              </c:numCache>
            </c:numRef>
          </c:val>
          <c:extLst>
            <c:ext xmlns:c16="http://schemas.microsoft.com/office/drawing/2014/chart" uri="{C3380CC4-5D6E-409C-BE32-E72D297353CC}">
              <c16:uniqueId val="{00000004-B11E-444C-9447-F22E5190B7DA}"/>
            </c:ext>
          </c:extLst>
        </c:ser>
        <c:ser>
          <c:idx val="5"/>
          <c:order val="5"/>
          <c:tx>
            <c:strRef>
              <c:f>'выплата осн. долга (Д-21)'!$B$20</c:f>
              <c:strCache>
                <c:ptCount val="1"/>
                <c:pt idx="0">
                  <c:v>Other sectors</c:v>
                </c:pt>
              </c:strCache>
            </c:strRef>
          </c:tx>
          <c:invertIfNegative val="0"/>
          <c:cat>
            <c:strRef>
              <c:f>'выплата осн. долга (Д-21)'!$F$12:$G$12</c:f>
              <c:strCache>
                <c:ptCount val="2"/>
                <c:pt idx="0">
                  <c:v>The first half of 2020</c:v>
                </c:pt>
                <c:pt idx="1">
                  <c:v>The first half of 2021</c:v>
                </c:pt>
              </c:strCache>
            </c:strRef>
          </c:cat>
          <c:val>
            <c:numRef>
              <c:f>'выплата осн. долга (Д-21)'!$F$20:$G$20</c:f>
              <c:numCache>
                <c:formatCode>_-* #,##0.0_р_._-;\-* #,##0.0_р_._-;_-* "-"??_р_._-;_-@_-</c:formatCode>
                <c:ptCount val="2"/>
                <c:pt idx="0">
                  <c:v>34.951360484192499</c:v>
                </c:pt>
                <c:pt idx="1">
                  <c:v>177.532907276554</c:v>
                </c:pt>
              </c:numCache>
            </c:numRef>
          </c:val>
          <c:extLst>
            <c:ext xmlns:c16="http://schemas.microsoft.com/office/drawing/2014/chart" uri="{C3380CC4-5D6E-409C-BE32-E72D297353CC}">
              <c16:uniqueId val="{00000005-B11E-444C-9447-F22E5190B7DA}"/>
            </c:ext>
          </c:extLst>
        </c:ser>
        <c:dLbls>
          <c:showLegendKey val="0"/>
          <c:showVal val="0"/>
          <c:showCatName val="0"/>
          <c:showSerName val="0"/>
          <c:showPercent val="0"/>
          <c:showBubbleSize val="0"/>
        </c:dLbls>
        <c:gapWidth val="164"/>
        <c:overlap val="-22"/>
        <c:axId val="99202176"/>
        <c:axId val="99203712"/>
      </c:barChart>
      <c:catAx>
        <c:axId val="99202176"/>
        <c:scaling>
          <c:orientation val="minMax"/>
        </c:scaling>
        <c:delete val="0"/>
        <c:axPos val="b"/>
        <c:majorGridlines/>
        <c:numFmt formatCode="General" sourceLinked="1"/>
        <c:majorTickMark val="none"/>
        <c:minorTickMark val="none"/>
        <c:tickLblPos val="nextTo"/>
        <c:txPr>
          <a:bodyPr rot="-60000000" vert="horz"/>
          <a:lstStyle/>
          <a:p>
            <a:pPr>
              <a:defRPr sz="900">
                <a:latin typeface="+mn-lt"/>
                <a:cs typeface="Times New Roman" panose="02020603050405020304" pitchFamily="18" charset="0"/>
              </a:defRPr>
            </a:pPr>
            <a:endParaRPr lang="ru-RU"/>
          </a:p>
        </c:txPr>
        <c:crossAx val="99203712"/>
        <c:crosses val="autoZero"/>
        <c:auto val="1"/>
        <c:lblAlgn val="ctr"/>
        <c:lblOffset val="100"/>
        <c:noMultiLvlLbl val="0"/>
      </c:catAx>
      <c:valAx>
        <c:axId val="99203712"/>
        <c:scaling>
          <c:orientation val="minMax"/>
          <c:max val="900"/>
          <c:min val="0"/>
        </c:scaling>
        <c:delete val="0"/>
        <c:axPos val="r"/>
        <c:numFmt formatCode="0" sourceLinked="0"/>
        <c:majorTickMark val="none"/>
        <c:minorTickMark val="none"/>
        <c:tickLblPos val="nextTo"/>
        <c:txPr>
          <a:bodyPr rot="-60000000" vert="horz"/>
          <a:lstStyle/>
          <a:p>
            <a:pPr>
              <a:defRPr sz="900">
                <a:latin typeface="+mn-lt"/>
                <a:cs typeface="Times New Roman" panose="02020603050405020304" pitchFamily="18" charset="0"/>
              </a:defRPr>
            </a:pPr>
            <a:endParaRPr lang="ru-RU"/>
          </a:p>
        </c:txPr>
        <c:crossAx val="99202176"/>
        <c:crosses val="max"/>
        <c:crossBetween val="between"/>
        <c:majorUnit val="100"/>
      </c:valAx>
    </c:plotArea>
    <c:legend>
      <c:legendPos val="b"/>
      <c:layout>
        <c:manualLayout>
          <c:xMode val="edge"/>
          <c:yMode val="edge"/>
          <c:x val="6.1443427487666888E-2"/>
          <c:y val="0.85073718662367126"/>
          <c:w val="0.89386007454209815"/>
          <c:h val="0.14539787995598336"/>
        </c:manualLayout>
      </c:layout>
      <c:overlay val="0"/>
      <c:txPr>
        <a:bodyPr rot="0" vert="horz"/>
        <a:lstStyle/>
        <a:p>
          <a:pPr>
            <a:defRPr sz="1000">
              <a:latin typeface="+mn-lt"/>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795746685510465E-2"/>
          <c:y val="2.4786745406824146E-2"/>
          <c:w val="0.90456925551740641"/>
          <c:h val="0.73012570477301453"/>
        </c:manualLayout>
      </c:layout>
      <c:barChart>
        <c:barDir val="col"/>
        <c:grouping val="clustered"/>
        <c:varyColors val="0"/>
        <c:ser>
          <c:idx val="0"/>
          <c:order val="0"/>
          <c:tx>
            <c:strRef>
              <c:f>'выплата проц (Д-22)'!$B$15</c:f>
              <c:strCache>
                <c:ptCount val="1"/>
                <c:pt idx="0">
                  <c:v>Government debt</c:v>
                </c:pt>
              </c:strCache>
            </c:strRef>
          </c:tx>
          <c:spPr>
            <a:solidFill>
              <a:schemeClr val="tx2"/>
            </a:solidFill>
          </c:spPr>
          <c:invertIfNegative val="0"/>
          <c:cat>
            <c:strRef>
              <c:f>'выплата проц (Д-22)'!$F$12:$G$12</c:f>
              <c:strCache>
                <c:ptCount val="2"/>
                <c:pt idx="0">
                  <c:v>The first half of 2020</c:v>
                </c:pt>
                <c:pt idx="1">
                  <c:v>The first half of 2021</c:v>
                </c:pt>
              </c:strCache>
            </c:strRef>
          </c:cat>
          <c:val>
            <c:numRef>
              <c:f>'выплата проц (Д-22)'!$F$15:$G$15</c:f>
              <c:numCache>
                <c:formatCode>_-* #,##0.0_р_._-;\-* #,##0.0_р_._-;_-* "-"??_р_._-;_-@_-</c:formatCode>
                <c:ptCount val="2"/>
                <c:pt idx="0" formatCode="_(* #,##0.00_);_(* \(#,##0.00\);_(* &quot;-&quot;??_);_(@_)">
                  <c:v>194.247420498</c:v>
                </c:pt>
                <c:pt idx="1">
                  <c:v>206.45642536815069</c:v>
                </c:pt>
              </c:numCache>
            </c:numRef>
          </c:val>
          <c:extLst>
            <c:ext xmlns:c16="http://schemas.microsoft.com/office/drawing/2014/chart" uri="{C3380CC4-5D6E-409C-BE32-E72D297353CC}">
              <c16:uniqueId val="{00000000-1477-45BE-989A-961C36D01FA9}"/>
            </c:ext>
          </c:extLst>
        </c:ser>
        <c:ser>
          <c:idx val="1"/>
          <c:order val="1"/>
          <c:tx>
            <c:strRef>
              <c:f>'выплата проц (Д-22)'!$B$16</c:f>
              <c:strCache>
                <c:ptCount val="1"/>
                <c:pt idx="0">
                  <c:v>Oil and gas and energy sector</c:v>
                </c:pt>
              </c:strCache>
            </c:strRef>
          </c:tx>
          <c:spPr>
            <a:solidFill>
              <a:schemeClr val="accent2"/>
            </a:solidFill>
          </c:spPr>
          <c:invertIfNegative val="0"/>
          <c:cat>
            <c:strRef>
              <c:f>'выплата проц (Д-22)'!$F$12:$G$12</c:f>
              <c:strCache>
                <c:ptCount val="2"/>
                <c:pt idx="0">
                  <c:v>The first half of 2020</c:v>
                </c:pt>
                <c:pt idx="1">
                  <c:v>The first half of 2021</c:v>
                </c:pt>
              </c:strCache>
            </c:strRef>
          </c:cat>
          <c:val>
            <c:numRef>
              <c:f>'выплата проц (Д-22)'!$F$16:$G$16</c:f>
              <c:numCache>
                <c:formatCode>_(* #,##0.00_);_(* \(#,##0.00\);_(* "-"??_);_(@_)</c:formatCode>
                <c:ptCount val="2"/>
                <c:pt idx="0">
                  <c:v>107.85932469914999</c:v>
                </c:pt>
                <c:pt idx="1">
                  <c:v>67.2206714699917</c:v>
                </c:pt>
              </c:numCache>
            </c:numRef>
          </c:val>
          <c:extLst>
            <c:ext xmlns:c16="http://schemas.microsoft.com/office/drawing/2014/chart" uri="{C3380CC4-5D6E-409C-BE32-E72D297353CC}">
              <c16:uniqueId val="{00000001-1477-45BE-989A-961C36D01FA9}"/>
            </c:ext>
          </c:extLst>
        </c:ser>
        <c:ser>
          <c:idx val="2"/>
          <c:order val="2"/>
          <c:tx>
            <c:strRef>
              <c:f>'выплата проц (Д-22)'!$B$17</c:f>
              <c:strCache>
                <c:ptCount val="1"/>
                <c:pt idx="0">
                  <c:v>Telecommunications sector</c:v>
                </c:pt>
              </c:strCache>
            </c:strRef>
          </c:tx>
          <c:spPr>
            <a:solidFill>
              <a:srgbClr val="C00000"/>
            </a:solidFill>
          </c:spPr>
          <c:invertIfNegative val="0"/>
          <c:cat>
            <c:strRef>
              <c:f>'выплата проц (Д-22)'!$F$12:$G$12</c:f>
              <c:strCache>
                <c:ptCount val="2"/>
                <c:pt idx="0">
                  <c:v>The first half of 2020</c:v>
                </c:pt>
                <c:pt idx="1">
                  <c:v>The first half of 2021</c:v>
                </c:pt>
              </c:strCache>
            </c:strRef>
          </c:cat>
          <c:val>
            <c:numRef>
              <c:f>'выплата проц (Д-22)'!$F$17:$G$17</c:f>
              <c:numCache>
                <c:formatCode>_(* #,##0.00_);_(* \(#,##0.00\);_(* "-"??_);_(@_)</c:formatCode>
                <c:ptCount val="2"/>
                <c:pt idx="0">
                  <c:v>2.8446113400000002</c:v>
                </c:pt>
                <c:pt idx="1">
                  <c:v>0.99429312000000003</c:v>
                </c:pt>
              </c:numCache>
            </c:numRef>
          </c:val>
          <c:extLst>
            <c:ext xmlns:c16="http://schemas.microsoft.com/office/drawing/2014/chart" uri="{C3380CC4-5D6E-409C-BE32-E72D297353CC}">
              <c16:uniqueId val="{00000002-1477-45BE-989A-961C36D01FA9}"/>
            </c:ext>
          </c:extLst>
        </c:ser>
        <c:ser>
          <c:idx val="3"/>
          <c:order val="3"/>
          <c:tx>
            <c:strRef>
              <c:f>'выплата проц (Д-22)'!$B$18</c:f>
              <c:strCache>
                <c:ptCount val="1"/>
                <c:pt idx="0">
                  <c:v>Banking sector</c:v>
                </c:pt>
              </c:strCache>
            </c:strRef>
          </c:tx>
          <c:invertIfNegative val="0"/>
          <c:cat>
            <c:strRef>
              <c:f>'выплата проц (Д-22)'!$F$12:$G$12</c:f>
              <c:strCache>
                <c:ptCount val="2"/>
                <c:pt idx="0">
                  <c:v>The first half of 2020</c:v>
                </c:pt>
                <c:pt idx="1">
                  <c:v>The first half of 2021</c:v>
                </c:pt>
              </c:strCache>
            </c:strRef>
          </c:cat>
          <c:val>
            <c:numRef>
              <c:f>'выплата проц (Д-22)'!$F$18:$G$18</c:f>
              <c:numCache>
                <c:formatCode>_(* #,##0.00_);_(* \(#,##0.00\);_(* "-"??_);_(@_)</c:formatCode>
                <c:ptCount val="2"/>
                <c:pt idx="0">
                  <c:v>80.112083222183401</c:v>
                </c:pt>
                <c:pt idx="1">
                  <c:v>153.92740481873699</c:v>
                </c:pt>
              </c:numCache>
            </c:numRef>
          </c:val>
          <c:extLst>
            <c:ext xmlns:c16="http://schemas.microsoft.com/office/drawing/2014/chart" uri="{C3380CC4-5D6E-409C-BE32-E72D297353CC}">
              <c16:uniqueId val="{00000003-1477-45BE-989A-961C36D01FA9}"/>
            </c:ext>
          </c:extLst>
        </c:ser>
        <c:ser>
          <c:idx val="4"/>
          <c:order val="4"/>
          <c:tx>
            <c:strRef>
              <c:f>'выплата проц (Д-22)'!$B$19</c:f>
              <c:strCache>
                <c:ptCount val="1"/>
                <c:pt idx="0">
                  <c:v>Textile sector</c:v>
                </c:pt>
              </c:strCache>
            </c:strRef>
          </c:tx>
          <c:invertIfNegative val="0"/>
          <c:cat>
            <c:strRef>
              <c:f>'выплата проц (Д-22)'!$F$12:$G$12</c:f>
              <c:strCache>
                <c:ptCount val="2"/>
                <c:pt idx="0">
                  <c:v>The first half of 2020</c:v>
                </c:pt>
                <c:pt idx="1">
                  <c:v>The first half of 2021</c:v>
                </c:pt>
              </c:strCache>
            </c:strRef>
          </c:cat>
          <c:val>
            <c:numRef>
              <c:f>'выплата проц (Д-22)'!$F$19:$G$19</c:f>
              <c:numCache>
                <c:formatCode>_(* #,##0.00_);_(* \(#,##0.00\);_(* "-"??_);_(@_)</c:formatCode>
                <c:ptCount val="2"/>
                <c:pt idx="0">
                  <c:v>1.4112737399999999</c:v>
                </c:pt>
                <c:pt idx="1">
                  <c:v>1.0726200699999999</c:v>
                </c:pt>
              </c:numCache>
            </c:numRef>
          </c:val>
          <c:extLst>
            <c:ext xmlns:c16="http://schemas.microsoft.com/office/drawing/2014/chart" uri="{C3380CC4-5D6E-409C-BE32-E72D297353CC}">
              <c16:uniqueId val="{00000004-1477-45BE-989A-961C36D01FA9}"/>
            </c:ext>
          </c:extLst>
        </c:ser>
        <c:ser>
          <c:idx val="5"/>
          <c:order val="5"/>
          <c:tx>
            <c:strRef>
              <c:f>'выплата проц (Д-22)'!$B$20</c:f>
              <c:strCache>
                <c:ptCount val="1"/>
                <c:pt idx="0">
                  <c:v>Other sectors</c:v>
                </c:pt>
              </c:strCache>
            </c:strRef>
          </c:tx>
          <c:invertIfNegative val="0"/>
          <c:cat>
            <c:strRef>
              <c:f>'выплата проц (Д-22)'!$F$12:$G$12</c:f>
              <c:strCache>
                <c:ptCount val="2"/>
                <c:pt idx="0">
                  <c:v>The first half of 2020</c:v>
                </c:pt>
                <c:pt idx="1">
                  <c:v>The first half of 2021</c:v>
                </c:pt>
              </c:strCache>
            </c:strRef>
          </c:cat>
          <c:val>
            <c:numRef>
              <c:f>'выплата проц (Д-22)'!$F$20:$G$20</c:f>
              <c:numCache>
                <c:formatCode>_(* #,##0.00_);_(* \(#,##0.00\);_(* "-"??_);_(@_)</c:formatCode>
                <c:ptCount val="2"/>
                <c:pt idx="0">
                  <c:v>2.1457124252403998</c:v>
                </c:pt>
                <c:pt idx="1">
                  <c:v>15.576090723482899</c:v>
                </c:pt>
              </c:numCache>
            </c:numRef>
          </c:val>
          <c:extLst>
            <c:ext xmlns:c16="http://schemas.microsoft.com/office/drawing/2014/chart" uri="{C3380CC4-5D6E-409C-BE32-E72D297353CC}">
              <c16:uniqueId val="{00000005-1477-45BE-989A-961C36D01FA9}"/>
            </c:ext>
          </c:extLst>
        </c:ser>
        <c:dLbls>
          <c:showLegendKey val="0"/>
          <c:showVal val="0"/>
          <c:showCatName val="0"/>
          <c:showSerName val="0"/>
          <c:showPercent val="0"/>
          <c:showBubbleSize val="0"/>
        </c:dLbls>
        <c:gapWidth val="164"/>
        <c:overlap val="-22"/>
        <c:axId val="101570816"/>
        <c:axId val="101576704"/>
      </c:barChart>
      <c:catAx>
        <c:axId val="101570816"/>
        <c:scaling>
          <c:orientation val="minMax"/>
        </c:scaling>
        <c:delete val="0"/>
        <c:axPos val="b"/>
        <c:majorGridlines/>
        <c:numFmt formatCode="General" sourceLinked="1"/>
        <c:majorTickMark val="none"/>
        <c:minorTickMark val="none"/>
        <c:tickLblPos val="nextTo"/>
        <c:txPr>
          <a:bodyPr rot="-60000000" vert="horz"/>
          <a:lstStyle/>
          <a:p>
            <a:pPr>
              <a:defRPr sz="900">
                <a:latin typeface="+mn-lt"/>
                <a:cs typeface="Times New Roman" panose="02020603050405020304" pitchFamily="18" charset="0"/>
              </a:defRPr>
            </a:pPr>
            <a:endParaRPr lang="ru-RU"/>
          </a:p>
        </c:txPr>
        <c:crossAx val="101576704"/>
        <c:crosses val="autoZero"/>
        <c:auto val="1"/>
        <c:lblAlgn val="ctr"/>
        <c:lblOffset val="100"/>
        <c:noMultiLvlLbl val="0"/>
      </c:catAx>
      <c:valAx>
        <c:axId val="101576704"/>
        <c:scaling>
          <c:orientation val="minMax"/>
          <c:max val="220"/>
          <c:min val="0"/>
        </c:scaling>
        <c:delete val="0"/>
        <c:axPos val="r"/>
        <c:numFmt formatCode="#,##0" sourceLinked="0"/>
        <c:majorTickMark val="none"/>
        <c:minorTickMark val="none"/>
        <c:tickLblPos val="nextTo"/>
        <c:spPr>
          <a:ln/>
        </c:spPr>
        <c:txPr>
          <a:bodyPr rot="-60000000" vert="horz"/>
          <a:lstStyle/>
          <a:p>
            <a:pPr>
              <a:defRPr sz="900">
                <a:latin typeface="+mn-lt"/>
              </a:defRPr>
            </a:pPr>
            <a:endParaRPr lang="ru-RU"/>
          </a:p>
        </c:txPr>
        <c:crossAx val="101570816"/>
        <c:crosses val="max"/>
        <c:crossBetween val="between"/>
        <c:majorUnit val="20"/>
      </c:valAx>
    </c:plotArea>
    <c:legend>
      <c:legendPos val="b"/>
      <c:layout>
        <c:manualLayout>
          <c:xMode val="edge"/>
          <c:yMode val="edge"/>
          <c:x val="0"/>
          <c:y val="0.85182203808997903"/>
          <c:w val="0.96345285236577161"/>
          <c:h val="0.14815952148296627"/>
        </c:manualLayout>
      </c:layout>
      <c:overlay val="0"/>
      <c:txPr>
        <a:bodyPr rot="0" vert="horz"/>
        <a:lstStyle/>
        <a:p>
          <a:pPr>
            <a:defRPr sz="900">
              <a:latin typeface="+mn-lt"/>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61140741732561E-2"/>
          <c:y val="3.1133670083607387E-2"/>
          <c:w val="0.8682899326268142"/>
          <c:h val="0.64508106398704645"/>
        </c:manualLayout>
      </c:layout>
      <c:barChart>
        <c:barDir val="col"/>
        <c:grouping val="stacked"/>
        <c:varyColors val="0"/>
        <c:ser>
          <c:idx val="0"/>
          <c:order val="0"/>
          <c:tx>
            <c:strRef>
              <c:f>ED!$D$169</c:f>
              <c:strCache>
                <c:ptCount val="1"/>
                <c:pt idx="0">
                  <c:v>Other liabilities (Currency and deposits, SDR and oth)</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ED!$E$168:$G$168</c:f>
              <c:strCache>
                <c:ptCount val="3"/>
                <c:pt idx="0">
                  <c:v>1 january 2020</c:v>
                </c:pt>
                <c:pt idx="1">
                  <c:v>1 january 2021</c:v>
                </c:pt>
                <c:pt idx="2">
                  <c:v>1 july 2021</c:v>
                </c:pt>
              </c:strCache>
            </c:strRef>
          </c:cat>
          <c:val>
            <c:numRef>
              <c:f>ED!$E$169:$G$169</c:f>
              <c:numCache>
                <c:formatCode>_-* #,##0.0_р_._-;\-* #,##0.0_р_._-;_-* "-"??_р_._-;_-@_-</c:formatCode>
                <c:ptCount val="3"/>
                <c:pt idx="0">
                  <c:v>1.6989556108057045</c:v>
                </c:pt>
                <c:pt idx="1">
                  <c:v>2.4832969067103861</c:v>
                </c:pt>
                <c:pt idx="2">
                  <c:v>2.9645318970933303</c:v>
                </c:pt>
              </c:numCache>
            </c:numRef>
          </c:val>
          <c:extLst>
            <c:ext xmlns:c16="http://schemas.microsoft.com/office/drawing/2014/chart" uri="{C3380CC4-5D6E-409C-BE32-E72D297353CC}">
              <c16:uniqueId val="{00000000-F680-49EF-956E-E8811F53D867}"/>
            </c:ext>
          </c:extLst>
        </c:ser>
        <c:ser>
          <c:idx val="1"/>
          <c:order val="1"/>
          <c:tx>
            <c:strRef>
              <c:f>ED!$D$170</c:f>
              <c:strCache>
                <c:ptCount val="1"/>
                <c:pt idx="0">
                  <c:v>Debt securities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ED!$E$168:$G$168</c:f>
              <c:strCache>
                <c:ptCount val="3"/>
                <c:pt idx="0">
                  <c:v>1 january 2020</c:v>
                </c:pt>
                <c:pt idx="1">
                  <c:v>1 january 2021</c:v>
                </c:pt>
                <c:pt idx="2">
                  <c:v>1 july 2021</c:v>
                </c:pt>
              </c:strCache>
            </c:strRef>
          </c:cat>
          <c:val>
            <c:numRef>
              <c:f>ED!$E$170:$G$170</c:f>
              <c:numCache>
                <c:formatCode>_-* #,##0.0_р_._-;\-* #,##0.0_р_._-;_-* "-"??_р_._-;_-@_-</c:formatCode>
                <c:ptCount val="3"/>
                <c:pt idx="0">
                  <c:v>1.41435783333</c:v>
                </c:pt>
                <c:pt idx="1">
                  <c:v>2.8668843144064464</c:v>
                </c:pt>
                <c:pt idx="2">
                  <c:v>3.1990465841639906</c:v>
                </c:pt>
              </c:numCache>
            </c:numRef>
          </c:val>
          <c:extLst>
            <c:ext xmlns:c16="http://schemas.microsoft.com/office/drawing/2014/chart" uri="{C3380CC4-5D6E-409C-BE32-E72D297353CC}">
              <c16:uniqueId val="{00000001-F680-49EF-956E-E8811F53D867}"/>
            </c:ext>
          </c:extLst>
        </c:ser>
        <c:ser>
          <c:idx val="2"/>
          <c:order val="2"/>
          <c:tx>
            <c:strRef>
              <c:f>ED!$D$171</c:f>
              <c:strCache>
                <c:ptCount val="1"/>
                <c:pt idx="0">
                  <c:v>Loans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ED!$E$168:$G$168</c:f>
              <c:strCache>
                <c:ptCount val="3"/>
                <c:pt idx="0">
                  <c:v>1 january 2020</c:v>
                </c:pt>
                <c:pt idx="1">
                  <c:v>1 january 2021</c:v>
                </c:pt>
                <c:pt idx="2">
                  <c:v>1 july 2021</c:v>
                </c:pt>
              </c:strCache>
            </c:strRef>
          </c:cat>
          <c:val>
            <c:numRef>
              <c:f>ED!$E$171:$G$171</c:f>
              <c:numCache>
                <c:formatCode>_-* #,##0.0_р_._-;\-* #,##0.0_р_._-;_-* "-"??_р_._-;_-@_-</c:formatCode>
                <c:ptCount val="3"/>
                <c:pt idx="0">
                  <c:v>23.217644546868506</c:v>
                </c:pt>
                <c:pt idx="1">
                  <c:v>30.978593892565605</c:v>
                </c:pt>
                <c:pt idx="2">
                  <c:v>32.695883972549268</c:v>
                </c:pt>
              </c:numCache>
            </c:numRef>
          </c:val>
          <c:extLst>
            <c:ext xmlns:c16="http://schemas.microsoft.com/office/drawing/2014/chart" uri="{C3380CC4-5D6E-409C-BE32-E72D297353CC}">
              <c16:uniqueId val="{00000002-F680-49EF-956E-E8811F53D867}"/>
            </c:ext>
          </c:extLst>
        </c:ser>
        <c:dLbls>
          <c:showLegendKey val="0"/>
          <c:showVal val="0"/>
          <c:showCatName val="0"/>
          <c:showSerName val="0"/>
          <c:showPercent val="0"/>
          <c:showBubbleSize val="0"/>
        </c:dLbls>
        <c:gapWidth val="150"/>
        <c:overlap val="100"/>
        <c:axId val="2106133920"/>
        <c:axId val="2106136416"/>
      </c:barChart>
      <c:lineChart>
        <c:grouping val="standard"/>
        <c:varyColors val="0"/>
        <c:ser>
          <c:idx val="3"/>
          <c:order val="3"/>
          <c:tx>
            <c:strRef>
              <c:f>ED!$D$172</c:f>
              <c:strCache>
                <c:ptCount val="1"/>
                <c:pt idx="0">
                  <c:v>External debt to GDP</c:v>
                </c:pt>
              </c:strCache>
            </c:strRef>
          </c:tx>
          <c:spPr>
            <a:ln w="28575" cap="rnd">
              <a:solidFill>
                <a:srgbClr val="00B050"/>
              </a:solidFill>
              <a:round/>
            </a:ln>
            <a:effectLst/>
          </c:spPr>
          <c:marker>
            <c:symbol val="circle"/>
            <c:size val="5"/>
            <c:spPr>
              <a:solidFill>
                <a:srgbClr val="66FF66"/>
              </a:solidFill>
              <a:ln w="9525">
                <a:solidFill>
                  <a:schemeClr val="accent4"/>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июль 2021</c:v>
                </c:pt>
              </c:strCache>
            </c:strRef>
          </c:cat>
          <c:val>
            <c:numRef>
              <c:f>ED!$E$172:$G$172</c:f>
              <c:numCache>
                <c:formatCode>0%</c:formatCode>
                <c:ptCount val="3"/>
                <c:pt idx="0">
                  <c:v>0.45613259156509733</c:v>
                </c:pt>
                <c:pt idx="1">
                  <c:v>0.60651692988805628</c:v>
                </c:pt>
                <c:pt idx="2">
                  <c:v>0.62250855608100319</c:v>
                </c:pt>
              </c:numCache>
            </c:numRef>
          </c:val>
          <c:smooth val="0"/>
          <c:extLst>
            <c:ext xmlns:c16="http://schemas.microsoft.com/office/drawing/2014/chart" uri="{C3380CC4-5D6E-409C-BE32-E72D297353CC}">
              <c16:uniqueId val="{00000003-F680-49EF-956E-E8811F53D867}"/>
            </c:ext>
          </c:extLst>
        </c:ser>
        <c:dLbls>
          <c:showLegendKey val="0"/>
          <c:showVal val="0"/>
          <c:showCatName val="0"/>
          <c:showSerName val="0"/>
          <c:showPercent val="0"/>
          <c:showBubbleSize val="0"/>
        </c:dLbls>
        <c:marker val="1"/>
        <c:smooth val="0"/>
        <c:axId val="2098715952"/>
        <c:axId val="2098713872"/>
      </c:lineChart>
      <c:catAx>
        <c:axId val="21061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6416"/>
        <c:crosses val="autoZero"/>
        <c:auto val="1"/>
        <c:lblAlgn val="ctr"/>
        <c:lblOffset val="100"/>
        <c:noMultiLvlLbl val="0"/>
      </c:catAx>
      <c:valAx>
        <c:axId val="210613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3920"/>
        <c:crosses val="autoZero"/>
        <c:crossBetween val="between"/>
      </c:valAx>
      <c:valAx>
        <c:axId val="20987138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98715952"/>
        <c:crosses val="max"/>
        <c:crossBetween val="between"/>
      </c:valAx>
      <c:catAx>
        <c:axId val="2098715952"/>
        <c:scaling>
          <c:orientation val="minMax"/>
        </c:scaling>
        <c:delete val="1"/>
        <c:axPos val="b"/>
        <c:numFmt formatCode="General" sourceLinked="1"/>
        <c:majorTickMark val="out"/>
        <c:minorTickMark val="none"/>
        <c:tickLblPos val="nextTo"/>
        <c:crossAx val="2098713872"/>
        <c:crosses val="autoZero"/>
        <c:auto val="1"/>
        <c:lblAlgn val="ctr"/>
        <c:lblOffset val="100"/>
        <c:noMultiLvlLbl val="0"/>
      </c:catAx>
      <c:spPr>
        <a:noFill/>
        <a:ln>
          <a:noFill/>
        </a:ln>
        <a:effectLst/>
      </c:spPr>
    </c:plotArea>
    <c:legend>
      <c:legendPos val="b"/>
      <c:layout>
        <c:manualLayout>
          <c:xMode val="edge"/>
          <c:yMode val="edge"/>
          <c:x val="0"/>
          <c:y val="0.7664956357703806"/>
          <c:w val="0.71251621482591554"/>
          <c:h val="0.2179375291878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46671933461795E-2"/>
          <c:y val="8.2230611584510838E-2"/>
          <c:w val="0.89038509113209552"/>
          <c:h val="0.77675274152374785"/>
        </c:manualLayout>
      </c:layout>
      <c:bar3DChart>
        <c:barDir val="col"/>
        <c:grouping val="stacked"/>
        <c:varyColors val="0"/>
        <c:ser>
          <c:idx val="0"/>
          <c:order val="0"/>
          <c:tx>
            <c:strRef>
              <c:f>'Имп. по компонент. 3д'!$D$38</c:f>
              <c:strCache>
                <c:ptCount val="1"/>
                <c:pt idx="0">
                  <c:v>Import CIF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4.9605667775890483E-3"/>
                  <c:y val="-0.26524779673274218"/>
                </c:manualLayout>
              </c:layout>
              <c:tx>
                <c:rich>
                  <a:bodyPr/>
                  <a:lstStyle/>
                  <a:p>
                    <a:r>
                      <a:rPr lang="en-US"/>
                      <a:t>4 742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F17-41C5-90B5-041F6C1479AB}"/>
                </c:ext>
              </c:extLst>
            </c:dLbl>
            <c:dLbl>
              <c:idx val="1"/>
              <c:layout>
                <c:manualLayout>
                  <c:x val="4.9605667775890483E-3"/>
                  <c:y val="-0.287599423615571"/>
                </c:manualLayout>
              </c:layout>
              <c:tx>
                <c:rich>
                  <a:bodyPr/>
                  <a:lstStyle/>
                  <a:p>
                    <a:r>
                      <a:rPr lang="en-US"/>
                      <a:t>5 292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F17-41C5-90B5-041F6C1479AB}"/>
                </c:ext>
              </c:extLst>
            </c:dLbl>
            <c:dLbl>
              <c:idx val="2"/>
              <c:layout>
                <c:manualLayout>
                  <c:x val="4.7228308570490436E-3"/>
                  <c:y val="-0.30467724091034204"/>
                </c:manualLayout>
              </c:layout>
              <c:tx>
                <c:rich>
                  <a:bodyPr/>
                  <a:lstStyle/>
                  <a:p>
                    <a:r>
                      <a:rPr lang="en-US"/>
                      <a:t>5 529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F17-41C5-90B5-041F6C1479AB}"/>
                </c:ext>
              </c:extLst>
            </c:dLbl>
            <c:dLbl>
              <c:idx val="3"/>
              <c:layout>
                <c:manualLayout>
                  <c:x val="5.1984605573060384E-3"/>
                  <c:y val="-0.30868494762349358"/>
                </c:manualLayout>
              </c:layout>
              <c:tx>
                <c:rich>
                  <a:bodyPr/>
                  <a:lstStyle/>
                  <a:p>
                    <a:r>
                      <a:rPr lang="en-US"/>
                      <a:t>5 628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F17-41C5-90B5-041F6C1479AB}"/>
                </c:ext>
              </c:extLst>
            </c:dLbl>
            <c:dLbl>
              <c:idx val="4"/>
              <c:layout>
                <c:manualLayout>
                  <c:x val="4.485094936509039E-3"/>
                  <c:y val="-0.24648529626051718"/>
                </c:manualLayout>
              </c:layout>
              <c:tx>
                <c:rich>
                  <a:bodyPr/>
                  <a:lstStyle/>
                  <a:p>
                    <a:r>
                      <a:rPr lang="en-US"/>
                      <a:t>4 291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F17-41C5-90B5-041F6C1479AB}"/>
                </c:ext>
              </c:extLst>
            </c:dLbl>
            <c:dLbl>
              <c:idx val="5"/>
              <c:layout>
                <c:manualLayout>
                  <c:x val="4.485094936509039E-3"/>
                  <c:y val="-0.24353429433383883"/>
                </c:manualLayout>
              </c:layout>
              <c:tx>
                <c:rich>
                  <a:bodyPr/>
                  <a:lstStyle/>
                  <a:p>
                    <a:r>
                      <a:rPr lang="en-US"/>
                      <a:t>4 290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F17-41C5-90B5-041F6C1479AB}"/>
                </c:ext>
              </c:extLst>
            </c:dLbl>
            <c:dLbl>
              <c:idx val="6"/>
              <c:layout>
                <c:manualLayout>
                  <c:x val="4.485094936509039E-3"/>
                  <c:y val="-0.26672329769608133"/>
                </c:manualLayout>
              </c:layout>
              <c:tx>
                <c:rich>
                  <a:bodyPr/>
                  <a:lstStyle/>
                  <a:p>
                    <a:r>
                      <a:rPr lang="en-US"/>
                      <a:t>4 998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F17-41C5-90B5-041F6C1479AB}"/>
                </c:ext>
              </c:extLst>
            </c:dLbl>
            <c:dLbl>
              <c:idx val="7"/>
              <c:layout>
                <c:manualLayout>
                  <c:x val="4.9605667775889017E-3"/>
                  <c:y val="-0.2964524293956059"/>
                </c:manualLayout>
              </c:layout>
              <c:tx>
                <c:rich>
                  <a:bodyPr/>
                  <a:lstStyle/>
                  <a:p>
                    <a:r>
                      <a:rPr lang="en-US"/>
                      <a:t>5 469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F17-41C5-90B5-041F6C1479AB}"/>
                </c:ext>
              </c:extLst>
            </c:dLbl>
            <c:dLbl>
              <c:idx val="8"/>
              <c:layout>
                <c:manualLayout>
                  <c:x val="1.2161470994954821E-3"/>
                  <c:y val="-0.25570032327179115"/>
                </c:manualLayout>
              </c:layout>
              <c:tx>
                <c:rich>
                  <a:bodyPr/>
                  <a:lstStyle/>
                  <a:p>
                    <a:r>
                      <a:rPr lang="en-US"/>
                      <a:t>4 722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F17-41C5-90B5-041F6C1479AB}"/>
                </c:ext>
              </c:extLst>
            </c:dLbl>
            <c:dLbl>
              <c:idx val="9"/>
              <c:layout>
                <c:manualLayout>
                  <c:x val="8.8300220750551876E-3"/>
                  <c:y val="-0.30684931506849317"/>
                </c:manualLayout>
              </c:layout>
              <c:tx>
                <c:rich>
                  <a:bodyPr/>
                  <a:lstStyle/>
                  <a:p>
                    <a:r>
                      <a:rPr lang="en-US"/>
                      <a:t>5 933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F17-41C5-90B5-041F6C1479A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3д'!$D$43:$D$52</c:f>
              <c:numCache>
                <c:formatCode>_-* #,##0_р_._-;\-* #,##0_р_._-;_-* "-"??_р_._-;_-@_-</c:formatCode>
                <c:ptCount val="10"/>
                <c:pt idx="0">
                  <c:v>5037.1845169998696</c:v>
                </c:pt>
                <c:pt idx="1">
                  <c:v>5545.2540964999098</c:v>
                </c:pt>
                <c:pt idx="2">
                  <c:v>5857.1907298318201</c:v>
                </c:pt>
                <c:pt idx="3">
                  <c:v>6031.9540944006103</c:v>
                </c:pt>
                <c:pt idx="4">
                  <c:v>4529.4858350001005</c:v>
                </c:pt>
                <c:pt idx="5">
                  <c:v>4641.9608603155239</c:v>
                </c:pt>
                <c:pt idx="6">
                  <c:v>5429.2737496959799</c:v>
                </c:pt>
                <c:pt idx="7">
                  <c:v>5897.2704471445704</c:v>
                </c:pt>
                <c:pt idx="8">
                  <c:v>5127.3700118827237</c:v>
                </c:pt>
                <c:pt idx="9">
                  <c:v>6382.522760412251</c:v>
                </c:pt>
              </c:numCache>
            </c:numRef>
          </c:val>
          <c:extLst>
            <c:ext xmlns:c16="http://schemas.microsoft.com/office/drawing/2014/chart" uri="{C3380CC4-5D6E-409C-BE32-E72D297353CC}">
              <c16:uniqueId val="{0000000A-7F17-41C5-90B5-041F6C1479AB}"/>
            </c:ext>
          </c:extLst>
        </c:ser>
        <c:ser>
          <c:idx val="1"/>
          <c:order val="1"/>
          <c:tx>
            <c:strRef>
              <c:f>'Имп. по компонент. 3д'!$E$38</c:f>
              <c:strCache>
                <c:ptCount val="1"/>
                <c:pt idx="0">
                  <c:v>Shuttle trade</c:v>
                </c:pt>
              </c:strCache>
            </c:strRef>
          </c:tx>
          <c:spPr>
            <a:solidFill>
              <a:srgbClr val="FF0000"/>
            </a:solidFill>
            <a:ln>
              <a:noFill/>
            </a:ln>
            <a:effectLst/>
            <a:sp3d/>
          </c:spPr>
          <c:invertIfNegative val="0"/>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3д'!$E$43:$E$52</c:f>
              <c:numCache>
                <c:formatCode>_-* #,##0_р_._-;\-* #,##0_р_._-;_-* "-"??_р_._-;_-@_-</c:formatCode>
                <c:ptCount val="10"/>
                <c:pt idx="0">
                  <c:v>70.576836519815004</c:v>
                </c:pt>
                <c:pt idx="1">
                  <c:v>96.154395162270504</c:v>
                </c:pt>
                <c:pt idx="2">
                  <c:v>82.676692866095294</c:v>
                </c:pt>
                <c:pt idx="3">
                  <c:v>67.914027972986901</c:v>
                </c:pt>
                <c:pt idx="4">
                  <c:v>63.291820416515797</c:v>
                </c:pt>
                <c:pt idx="5">
                  <c:v>0</c:v>
                </c:pt>
                <c:pt idx="6">
                  <c:v>0</c:v>
                </c:pt>
                <c:pt idx="7">
                  <c:v>0</c:v>
                </c:pt>
                <c:pt idx="8">
                  <c:v>0</c:v>
                </c:pt>
                <c:pt idx="9">
                  <c:v>0</c:v>
                </c:pt>
              </c:numCache>
            </c:numRef>
          </c:val>
          <c:extLst>
            <c:ext xmlns:c16="http://schemas.microsoft.com/office/drawing/2014/chart" uri="{C3380CC4-5D6E-409C-BE32-E72D297353CC}">
              <c16:uniqueId val="{0000000B-7F17-41C5-90B5-041F6C1479AB}"/>
            </c:ext>
          </c:extLst>
        </c:ser>
        <c:ser>
          <c:idx val="2"/>
          <c:order val="2"/>
          <c:tx>
            <c:strRef>
              <c:f>'Имп. по компонент. 3д'!$F$38</c:f>
              <c:strCache>
                <c:ptCount val="1"/>
                <c:pt idx="0">
                  <c:v>Goods in ports</c:v>
                </c:pt>
              </c:strCache>
            </c:strRef>
          </c:tx>
          <c:spPr>
            <a:solidFill>
              <a:schemeClr val="tx1"/>
            </a:solidFill>
            <a:ln>
              <a:noFill/>
            </a:ln>
            <a:effectLst/>
            <a:sp3d/>
          </c:spPr>
          <c:invertIfNegative val="0"/>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3д'!$F$43:$F$52</c:f>
              <c:numCache>
                <c:formatCode>_-* #,##0_р_._-;\-* #,##0_р_._-;_-* "-"??_р_._-;_-@_-</c:formatCode>
                <c:ptCount val="10"/>
                <c:pt idx="0">
                  <c:v>25.430735515866854</c:v>
                </c:pt>
                <c:pt idx="1">
                  <c:v>28.571629451510173</c:v>
                </c:pt>
                <c:pt idx="2">
                  <c:v>27.916710455924118</c:v>
                </c:pt>
                <c:pt idx="3">
                  <c:v>28.643972107969059</c:v>
                </c:pt>
                <c:pt idx="4">
                  <c:v>22.450073144319866</c:v>
                </c:pt>
                <c:pt idx="5">
                  <c:v>2.1627375455712774</c:v>
                </c:pt>
                <c:pt idx="6">
                  <c:v>3.3254424005478058</c:v>
                </c:pt>
                <c:pt idx="7">
                  <c:v>6.9027065335804796</c:v>
                </c:pt>
                <c:pt idx="8">
                  <c:v>3.7542207708140927</c:v>
                </c:pt>
                <c:pt idx="9">
                  <c:v>7.8849398500901291</c:v>
                </c:pt>
              </c:numCache>
            </c:numRef>
          </c:val>
          <c:extLst>
            <c:ext xmlns:c16="http://schemas.microsoft.com/office/drawing/2014/chart" uri="{C3380CC4-5D6E-409C-BE32-E72D297353CC}">
              <c16:uniqueId val="{0000000C-7F17-41C5-90B5-041F6C1479AB}"/>
            </c:ext>
          </c:extLst>
        </c:ser>
        <c:ser>
          <c:idx val="3"/>
          <c:order val="3"/>
          <c:tx>
            <c:strRef>
              <c:f>'Имп. по компонент. 3д'!$G$38</c:f>
              <c:strCache>
                <c:ptCount val="1"/>
                <c:pt idx="0">
                  <c:v>Freight</c:v>
                </c:pt>
              </c:strCache>
            </c:strRef>
          </c:tx>
          <c:spPr>
            <a:solidFill>
              <a:schemeClr val="accent3"/>
            </a:solidFill>
            <a:ln>
              <a:noFill/>
            </a:ln>
            <a:effectLst/>
            <a:sp3d/>
          </c:spPr>
          <c:invertIfNegative val="0"/>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3д'!$G$43:$G$52</c:f>
              <c:numCache>
                <c:formatCode>_-* #,##0_р_._-;\-* #,##0_р_._-;_-* "-"??_р_._-;_-@_-</c:formatCode>
                <c:ptCount val="10"/>
                <c:pt idx="0">
                  <c:v>-395.63521829872127</c:v>
                </c:pt>
                <c:pt idx="1">
                  <c:v>-381.35809007772195</c:v>
                </c:pt>
                <c:pt idx="2">
                  <c:v>-445.82716031051632</c:v>
                </c:pt>
                <c:pt idx="3">
                  <c:v>-502.40000838482433</c:v>
                </c:pt>
                <c:pt idx="4">
                  <c:v>-325.75503326520118</c:v>
                </c:pt>
                <c:pt idx="5">
                  <c:v>-357.58439078158142</c:v>
                </c:pt>
                <c:pt idx="6">
                  <c:v>-446.66283340009358</c:v>
                </c:pt>
                <c:pt idx="7">
                  <c:v>-440.40457614499644</c:v>
                </c:pt>
                <c:pt idx="8">
                  <c:v>-410.91676960057572</c:v>
                </c:pt>
                <c:pt idx="9">
                  <c:v>-463.71592475476649</c:v>
                </c:pt>
              </c:numCache>
            </c:numRef>
          </c:val>
          <c:extLst>
            <c:ext xmlns:c16="http://schemas.microsoft.com/office/drawing/2014/chart" uri="{C3380CC4-5D6E-409C-BE32-E72D297353CC}">
              <c16:uniqueId val="{0000000D-7F17-41C5-90B5-041F6C1479AB}"/>
            </c:ext>
          </c:extLst>
        </c:ser>
        <c:ser>
          <c:idx val="4"/>
          <c:order val="4"/>
          <c:tx>
            <c:strRef>
              <c:f>'Имп. по компонент. 3д'!$H$38</c:f>
              <c:strCache>
                <c:ptCount val="1"/>
                <c:pt idx="0">
                  <c:v>Non-monetary gold</c:v>
                </c:pt>
              </c:strCache>
            </c:strRef>
          </c:tx>
          <c:spPr>
            <a:solidFill>
              <a:srgbClr val="FFC000"/>
            </a:solidFill>
            <a:ln>
              <a:noFill/>
            </a:ln>
            <a:effectLst/>
            <a:sp3d/>
          </c:spPr>
          <c:invertIfNegative val="0"/>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3д'!$H$43:$H$52</c:f>
              <c:numCache>
                <c:formatCode>_-* #,##0_р_._-;\-* #,##0_р_._-;_-* "-"??_р_._-;_-@_-</c:formatCode>
                <c:ptCount val="10"/>
                <c:pt idx="0">
                  <c:v>4.2110000000000003</c:v>
                </c:pt>
                <c:pt idx="1">
                  <c:v>3.0579999999999998</c:v>
                </c:pt>
                <c:pt idx="2">
                  <c:v>6.6829999999999998</c:v>
                </c:pt>
                <c:pt idx="3">
                  <c:v>1.752</c:v>
                </c:pt>
                <c:pt idx="4">
                  <c:v>1.88418</c:v>
                </c:pt>
                <c:pt idx="5">
                  <c:v>3.58378</c:v>
                </c:pt>
                <c:pt idx="6">
                  <c:v>12.34685</c:v>
                </c:pt>
                <c:pt idx="7">
                  <c:v>4.7830599999999999</c:v>
                </c:pt>
                <c:pt idx="8">
                  <c:v>1.5794999999999999</c:v>
                </c:pt>
                <c:pt idx="9">
                  <c:v>6.1593499999999999</c:v>
                </c:pt>
              </c:numCache>
            </c:numRef>
          </c:val>
          <c:extLst>
            <c:ext xmlns:c16="http://schemas.microsoft.com/office/drawing/2014/chart" uri="{C3380CC4-5D6E-409C-BE32-E72D297353CC}">
              <c16:uniqueId val="{0000000E-7F17-41C5-90B5-041F6C1479AB}"/>
            </c:ext>
          </c:extLst>
        </c:ser>
        <c:dLbls>
          <c:showLegendKey val="0"/>
          <c:showVal val="0"/>
          <c:showCatName val="0"/>
          <c:showSerName val="0"/>
          <c:showPercent val="0"/>
          <c:showBubbleSize val="0"/>
        </c:dLbls>
        <c:gapWidth val="150"/>
        <c:shape val="box"/>
        <c:axId val="548008848"/>
        <c:axId val="548008432"/>
        <c:axId val="0"/>
      </c:bar3DChart>
      <c:catAx>
        <c:axId val="54800884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008432"/>
        <c:crosses val="autoZero"/>
        <c:auto val="1"/>
        <c:lblAlgn val="ctr"/>
        <c:lblOffset val="100"/>
        <c:tickLblSkip val="1"/>
        <c:tickMarkSkip val="2"/>
        <c:noMultiLvlLbl val="0"/>
      </c:catAx>
      <c:valAx>
        <c:axId val="548008432"/>
        <c:scaling>
          <c:orientation val="minMax"/>
          <c:max val="8000"/>
          <c:min val="-1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8008848"/>
        <c:crosses val="autoZero"/>
        <c:crossBetween val="between"/>
        <c:majorUnit val="1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56876282868864E-2"/>
          <c:y val="0.1299102133193254"/>
          <c:w val="0.87849537135802769"/>
          <c:h val="0.75970253857694392"/>
        </c:manualLayout>
      </c:layout>
      <c:barChart>
        <c:barDir val="col"/>
        <c:grouping val="clustered"/>
        <c:varyColors val="0"/>
        <c:ser>
          <c:idx val="0"/>
          <c:order val="0"/>
          <c:tx>
            <c:strRef>
              <c:f>'ЭК по стран (без золот)'!$G$5</c:f>
              <c:strCache>
                <c:ptCount val="1"/>
                <c:pt idx="0">
                  <c:v>I half of 2019  </c:v>
                </c:pt>
              </c:strCache>
            </c:strRef>
          </c:tx>
          <c:invertIfNegative val="0"/>
          <c:dLbls>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Afganistan</c:v>
                </c:pt>
                <c:pt idx="6">
                  <c:v>Other countries</c:v>
                </c:pt>
              </c:strCache>
            </c:strRef>
          </c:cat>
          <c:val>
            <c:numRef>
              <c:f>'ЭК по стран (без золот)'!$G$8:$G$14</c:f>
              <c:numCache>
                <c:formatCode>_-* #,##0_р_._-;\-* #,##0_р_._-;_-* "-"??_р_._-;_-@_-</c:formatCode>
                <c:ptCount val="7"/>
                <c:pt idx="0">
                  <c:v>937.09122308866699</c:v>
                </c:pt>
                <c:pt idx="1">
                  <c:v>964.72964244037303</c:v>
                </c:pt>
                <c:pt idx="2">
                  <c:v>573.32539587740507</c:v>
                </c:pt>
                <c:pt idx="3">
                  <c:v>511.58171063783789</c:v>
                </c:pt>
                <c:pt idx="4">
                  <c:v>370.72468082954799</c:v>
                </c:pt>
                <c:pt idx="5">
                  <c:v>181.56620699999991</c:v>
                </c:pt>
                <c:pt idx="6">
                  <c:v>722.91560829815796</c:v>
                </c:pt>
              </c:numCache>
            </c:numRef>
          </c:val>
          <c:extLst>
            <c:ext xmlns:c16="http://schemas.microsoft.com/office/drawing/2014/chart" uri="{C3380CC4-5D6E-409C-BE32-E72D297353CC}">
              <c16:uniqueId val="{00000000-0020-42EE-859F-75DF679996AA}"/>
            </c:ext>
          </c:extLst>
        </c:ser>
        <c:ser>
          <c:idx val="1"/>
          <c:order val="1"/>
          <c:tx>
            <c:strRef>
              <c:f>'ЭК по стран (без золот)'!$H$5</c:f>
              <c:strCache>
                <c:ptCount val="1"/>
                <c:pt idx="0">
                  <c:v>I half of 2020  </c:v>
                </c:pt>
              </c:strCache>
            </c:strRef>
          </c:tx>
          <c:invertIfNegative val="0"/>
          <c:dLbls>
            <c:dLbl>
              <c:idx val="0"/>
              <c:layout>
                <c:manualLayout>
                  <c:x val="-4.1050153874421687E-17"/>
                  <c:y val="1.02898857984721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020-42EE-859F-75DF679996AA}"/>
                </c:ext>
              </c:extLst>
            </c:dLbl>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Afganistan</c:v>
                </c:pt>
                <c:pt idx="6">
                  <c:v>Other countries</c:v>
                </c:pt>
              </c:strCache>
            </c:strRef>
          </c:cat>
          <c:val>
            <c:numRef>
              <c:f>'ЭК по стран (без золот)'!$H$8:$H$14</c:f>
              <c:numCache>
                <c:formatCode>_-* #,##0_р_._-;\-* #,##0_р_._-;_-* "-"??_р_._-;_-@_-</c:formatCode>
                <c:ptCount val="7"/>
                <c:pt idx="0">
                  <c:v>545.90875761999985</c:v>
                </c:pt>
                <c:pt idx="1">
                  <c:v>529.21192900000051</c:v>
                </c:pt>
                <c:pt idx="2">
                  <c:v>339.91773400000068</c:v>
                </c:pt>
                <c:pt idx="3">
                  <c:v>433.92992800000013</c:v>
                </c:pt>
                <c:pt idx="4">
                  <c:v>320.85034341399989</c:v>
                </c:pt>
                <c:pt idx="5">
                  <c:v>181.69891900000027</c:v>
                </c:pt>
                <c:pt idx="6">
                  <c:v>672.79665051450047</c:v>
                </c:pt>
              </c:numCache>
            </c:numRef>
          </c:val>
          <c:extLst>
            <c:ext xmlns:c16="http://schemas.microsoft.com/office/drawing/2014/chart" uri="{C3380CC4-5D6E-409C-BE32-E72D297353CC}">
              <c16:uniqueId val="{00000002-0020-42EE-859F-75DF679996AA}"/>
            </c:ext>
          </c:extLst>
        </c:ser>
        <c:ser>
          <c:idx val="2"/>
          <c:order val="2"/>
          <c:tx>
            <c:strRef>
              <c:f>'ЭК по стран (без золот)'!$I$5</c:f>
              <c:strCache>
                <c:ptCount val="1"/>
                <c:pt idx="0">
                  <c:v>I half of 2021  </c:v>
                </c:pt>
              </c:strCache>
            </c:strRef>
          </c:tx>
          <c:invertIfNegative val="0"/>
          <c:dLbls>
            <c:spPr>
              <a:noFill/>
              <a:ln>
                <a:noFill/>
              </a:ln>
              <a:effectLst/>
            </c:spPr>
            <c:txPr>
              <a:bodyPr rot="-5400000" spcFirstLastPara="1" vertOverflow="ellipsis" vert="horz"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Afganistan</c:v>
                </c:pt>
                <c:pt idx="6">
                  <c:v>Other countries</c:v>
                </c:pt>
              </c:strCache>
            </c:strRef>
          </c:cat>
          <c:val>
            <c:numRef>
              <c:f>'ЭК по стран (без золот)'!$I$8:$I$14</c:f>
              <c:numCache>
                <c:formatCode>_-* #,##0_р_._-;\-* #,##0_р_._-;_-* "-"??_р_._-;_-@_-</c:formatCode>
                <c:ptCount val="7"/>
                <c:pt idx="0">
                  <c:v>723.52822000000288</c:v>
                </c:pt>
                <c:pt idx="1">
                  <c:v>716.00413400000184</c:v>
                </c:pt>
                <c:pt idx="2">
                  <c:v>487.71473999999864</c:v>
                </c:pt>
                <c:pt idx="3">
                  <c:v>845.52835999999957</c:v>
                </c:pt>
                <c:pt idx="4">
                  <c:v>337.63671088399906</c:v>
                </c:pt>
                <c:pt idx="5">
                  <c:v>158.65287999999958</c:v>
                </c:pt>
                <c:pt idx="6">
                  <c:v>1071.2414862099997</c:v>
                </c:pt>
              </c:numCache>
            </c:numRef>
          </c:val>
          <c:extLst>
            <c:ext xmlns:c16="http://schemas.microsoft.com/office/drawing/2014/chart" uri="{C3380CC4-5D6E-409C-BE32-E72D297353CC}">
              <c16:uniqueId val="{00000003-0020-42EE-859F-75DF679996AA}"/>
            </c:ext>
          </c:extLst>
        </c:ser>
        <c:dLbls>
          <c:dLblPos val="outEnd"/>
          <c:showLegendKey val="0"/>
          <c:showVal val="1"/>
          <c:showCatName val="0"/>
          <c:showSerName val="0"/>
          <c:showPercent val="0"/>
          <c:showBubbleSize val="0"/>
        </c:dLbls>
        <c:gapWidth val="130"/>
        <c:overlap val="-40"/>
        <c:axId val="348924624"/>
        <c:axId val="348922960"/>
      </c:barChart>
      <c:catAx>
        <c:axId val="3489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2960"/>
        <c:crosses val="autoZero"/>
        <c:auto val="1"/>
        <c:lblAlgn val="ctr"/>
        <c:lblOffset val="100"/>
        <c:noMultiLvlLbl val="0"/>
      </c:catAx>
      <c:valAx>
        <c:axId val="348922960"/>
        <c:scaling>
          <c:orientation val="minMax"/>
          <c:max val="1400"/>
          <c:min val="0"/>
        </c:scaling>
        <c:delete val="0"/>
        <c:axPos val="l"/>
        <c:numFmt formatCode="_-* #,##0_р_._-;\-* #,##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46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504461424904528E-2"/>
          <c:y val="3.7090560173659227E-2"/>
          <c:w val="0.6432720587005184"/>
          <c:h val="0.84049807368153762"/>
        </c:manualLayout>
      </c:layout>
      <c:bar3DChart>
        <c:barDir val="col"/>
        <c:grouping val="percentStacked"/>
        <c:varyColors val="0"/>
        <c:ser>
          <c:idx val="0"/>
          <c:order val="0"/>
          <c:tx>
            <c:strRef>
              <c:f>'ЭК по товар (Тест)'!$A$4</c:f>
              <c:strCache>
                <c:ptCount val="1"/>
                <c:pt idx="0">
                  <c:v>Other groups of goods</c:v>
                </c:pt>
              </c:strCache>
            </c:strRef>
          </c:tx>
          <c:spPr>
            <a:solidFill>
              <a:srgbClr val="00B0F0"/>
            </a:solidFill>
            <a:ln>
              <a:noFill/>
            </a:ln>
            <a:effectLst>
              <a:outerShdw blurRad="50800" dist="508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half of 2019  </c:v>
                </c:pt>
                <c:pt idx="1">
                  <c:v>I half of 2020  </c:v>
                </c:pt>
                <c:pt idx="2">
                  <c:v>I half of 2021  </c:v>
                </c:pt>
              </c:strCache>
            </c:strRef>
          </c:cat>
          <c:val>
            <c:numRef>
              <c:f>'ЭК по товар (Тест)'!$AF$4:$AH$4</c:f>
              <c:numCache>
                <c:formatCode>0.0%</c:formatCode>
                <c:ptCount val="3"/>
                <c:pt idx="0">
                  <c:v>5.1297269230331233E-2</c:v>
                </c:pt>
                <c:pt idx="1">
                  <c:v>6.5742065356003118E-2</c:v>
                </c:pt>
                <c:pt idx="2">
                  <c:v>0.10277329973436299</c:v>
                </c:pt>
              </c:numCache>
            </c:numRef>
          </c:val>
          <c:extLst>
            <c:ext xmlns:c16="http://schemas.microsoft.com/office/drawing/2014/chart" uri="{C3380CC4-5D6E-409C-BE32-E72D297353CC}">
              <c16:uniqueId val="{00000000-2412-4DF3-B67D-88BBDC4A5BD6}"/>
            </c:ext>
          </c:extLst>
        </c:ser>
        <c:ser>
          <c:idx val="1"/>
          <c:order val="1"/>
          <c:tx>
            <c:strRef>
              <c:f>'ЭК по товар (Тест)'!$A$5</c:f>
              <c:strCache>
                <c:ptCount val="1"/>
                <c:pt idx="0">
                  <c:v>Products of chemical industry</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half of 2019  </c:v>
                </c:pt>
                <c:pt idx="1">
                  <c:v>I half of 2020  </c:v>
                </c:pt>
                <c:pt idx="2">
                  <c:v>I half of 2021  </c:v>
                </c:pt>
              </c:strCache>
            </c:strRef>
          </c:cat>
          <c:val>
            <c:numRef>
              <c:f>'ЭК по товар (Тест)'!$AF$5:$AH$5</c:f>
              <c:numCache>
                <c:formatCode>0.0%</c:formatCode>
                <c:ptCount val="3"/>
                <c:pt idx="0">
                  <c:v>3.7291792918819483E-2</c:v>
                </c:pt>
                <c:pt idx="1">
                  <c:v>4.6595579999859707E-2</c:v>
                </c:pt>
                <c:pt idx="2">
                  <c:v>4.6256867425609409E-2</c:v>
                </c:pt>
              </c:numCache>
            </c:numRef>
          </c:val>
          <c:extLst>
            <c:ext xmlns:c16="http://schemas.microsoft.com/office/drawing/2014/chart" uri="{C3380CC4-5D6E-409C-BE32-E72D297353CC}">
              <c16:uniqueId val="{00000001-2412-4DF3-B67D-88BBDC4A5BD6}"/>
            </c:ext>
          </c:extLst>
        </c:ser>
        <c:ser>
          <c:idx val="2"/>
          <c:order val="2"/>
          <c:tx>
            <c:strRef>
              <c:f>'ЭК по товар (Тест)'!$A$6</c:f>
              <c:strCache>
                <c:ptCount val="1"/>
                <c:pt idx="0">
                  <c:v>Nonprecious metals and products of them </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half of 2019  </c:v>
                </c:pt>
                <c:pt idx="1">
                  <c:v>I half of 2020  </c:v>
                </c:pt>
                <c:pt idx="2">
                  <c:v>I half of 2021  </c:v>
                </c:pt>
              </c:strCache>
            </c:strRef>
          </c:cat>
          <c:val>
            <c:numRef>
              <c:f>'ЭК по товар (Тест)'!$AF$6:$AH$6</c:f>
              <c:numCache>
                <c:formatCode>0.0%</c:formatCode>
                <c:ptCount val="3"/>
                <c:pt idx="0">
                  <c:v>8.1429490742832886E-2</c:v>
                </c:pt>
                <c:pt idx="1">
                  <c:v>8.953820531263354E-2</c:v>
                </c:pt>
                <c:pt idx="2">
                  <c:v>0.12858673134720275</c:v>
                </c:pt>
              </c:numCache>
            </c:numRef>
          </c:val>
          <c:extLst>
            <c:ext xmlns:c16="http://schemas.microsoft.com/office/drawing/2014/chart" uri="{C3380CC4-5D6E-409C-BE32-E72D297353CC}">
              <c16:uniqueId val="{00000002-2412-4DF3-B67D-88BBDC4A5BD6}"/>
            </c:ext>
          </c:extLst>
        </c:ser>
        <c:ser>
          <c:idx val="3"/>
          <c:order val="3"/>
          <c:tx>
            <c:strRef>
              <c:f>'ЭК по товар (Тест)'!$A$7</c:f>
              <c:strCache>
                <c:ptCount val="1"/>
                <c:pt idx="0">
                  <c:v>Vegetable products </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half of 2019  </c:v>
                </c:pt>
                <c:pt idx="1">
                  <c:v>I half of 2020  </c:v>
                </c:pt>
                <c:pt idx="2">
                  <c:v>I half of 2021  </c:v>
                </c:pt>
              </c:strCache>
            </c:strRef>
          </c:cat>
          <c:val>
            <c:numRef>
              <c:f>'ЭК по товар (Тест)'!$AF$7:$AH$7</c:f>
              <c:numCache>
                <c:formatCode>0.0%</c:formatCode>
                <c:ptCount val="3"/>
                <c:pt idx="0">
                  <c:v>0.12401730860841037</c:v>
                </c:pt>
                <c:pt idx="1">
                  <c:v>0.10433891460826482</c:v>
                </c:pt>
                <c:pt idx="2">
                  <c:v>8.3594088173484224E-2</c:v>
                </c:pt>
              </c:numCache>
            </c:numRef>
          </c:val>
          <c:extLst>
            <c:ext xmlns:c16="http://schemas.microsoft.com/office/drawing/2014/chart" uri="{C3380CC4-5D6E-409C-BE32-E72D297353CC}">
              <c16:uniqueId val="{00000003-2412-4DF3-B67D-88BBDC4A5BD6}"/>
            </c:ext>
          </c:extLst>
        </c:ser>
        <c:ser>
          <c:idx val="4"/>
          <c:order val="4"/>
          <c:tx>
            <c:strRef>
              <c:f>'ЭК по товар (Тест)'!$A$8</c:f>
              <c:strCache>
                <c:ptCount val="1"/>
                <c:pt idx="0">
                  <c:v>Mineral products</c:v>
                </c:pt>
              </c:strCache>
            </c:strRef>
          </c:tx>
          <c:spPr>
            <a:solidFill>
              <a:srgbClr val="E6F4E6"/>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half of 2019  </c:v>
                </c:pt>
                <c:pt idx="1">
                  <c:v>I half of 2020  </c:v>
                </c:pt>
                <c:pt idx="2">
                  <c:v>I half of 2021  </c:v>
                </c:pt>
              </c:strCache>
            </c:strRef>
          </c:cat>
          <c:val>
            <c:numRef>
              <c:f>'ЭК по товар (Тест)'!$AF$8:$AH$8</c:f>
              <c:numCache>
                <c:formatCode>0.0%</c:formatCode>
                <c:ptCount val="3"/>
                <c:pt idx="0">
                  <c:v>0.168534899866389</c:v>
                </c:pt>
                <c:pt idx="1">
                  <c:v>6.4953154494836157E-2</c:v>
                </c:pt>
                <c:pt idx="2">
                  <c:v>5.9590838661055502E-2</c:v>
                </c:pt>
              </c:numCache>
            </c:numRef>
          </c:val>
          <c:extLst>
            <c:ext xmlns:c16="http://schemas.microsoft.com/office/drawing/2014/chart" uri="{C3380CC4-5D6E-409C-BE32-E72D297353CC}">
              <c16:uniqueId val="{00000004-2412-4DF3-B67D-88BBDC4A5BD6}"/>
            </c:ext>
          </c:extLst>
        </c:ser>
        <c:ser>
          <c:idx val="5"/>
          <c:order val="5"/>
          <c:tx>
            <c:strRef>
              <c:f>'ЭК по товар (Тест)'!$A$9</c:f>
              <c:strCache>
                <c:ptCount val="1"/>
                <c:pt idx="0">
                  <c:v>Textiles and textile product </c:v>
                </c:pt>
              </c:strCache>
            </c:strRef>
          </c:tx>
          <c:spPr>
            <a:solidFill>
              <a:schemeClr val="accent5">
                <a:lumMod val="60000"/>
                <a:lumOff val="4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half of 2019  </c:v>
                </c:pt>
                <c:pt idx="1">
                  <c:v>I half of 2020  </c:v>
                </c:pt>
                <c:pt idx="2">
                  <c:v>I half of 2021  </c:v>
                </c:pt>
              </c:strCache>
            </c:strRef>
          </c:cat>
          <c:val>
            <c:numRef>
              <c:f>'ЭК по товар (Тест)'!$AF$9:$AH$9</c:f>
              <c:numCache>
                <c:formatCode>0.0%</c:formatCode>
                <c:ptCount val="3"/>
                <c:pt idx="0">
                  <c:v>0.16073017750843727</c:v>
                </c:pt>
                <c:pt idx="1">
                  <c:v>0.17966623135348436</c:v>
                </c:pt>
                <c:pt idx="2">
                  <c:v>0.25589806352677746</c:v>
                </c:pt>
              </c:numCache>
            </c:numRef>
          </c:val>
          <c:extLst>
            <c:ext xmlns:c16="http://schemas.microsoft.com/office/drawing/2014/chart" uri="{C3380CC4-5D6E-409C-BE32-E72D297353CC}">
              <c16:uniqueId val="{00000005-2412-4DF3-B67D-88BBDC4A5BD6}"/>
            </c:ext>
          </c:extLst>
        </c:ser>
        <c:ser>
          <c:idx val="6"/>
          <c:order val="6"/>
          <c:tx>
            <c:strRef>
              <c:f>'ЭК по товар (Тест)'!$A$10</c:f>
              <c:strCache>
                <c:ptCount val="1"/>
                <c:pt idx="0">
                  <c:v>Precious metals and stones</c:v>
                </c:pt>
              </c:strCache>
            </c:strRef>
          </c:tx>
          <c:spPr>
            <a:solidFill>
              <a:srgbClr val="FFC00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half of 2019  </c:v>
                </c:pt>
                <c:pt idx="1">
                  <c:v>I half of 2020  </c:v>
                </c:pt>
                <c:pt idx="2">
                  <c:v>I half of 2021  </c:v>
                </c:pt>
              </c:strCache>
            </c:strRef>
          </c:cat>
          <c:val>
            <c:numRef>
              <c:f>'ЭК по товар (Тест)'!$AF$10:$AH$10</c:f>
              <c:numCache>
                <c:formatCode>0.0%</c:formatCode>
                <c:ptCount val="3"/>
                <c:pt idx="0">
                  <c:v>0.34343831917148643</c:v>
                </c:pt>
                <c:pt idx="1">
                  <c:v>0.4194667420054401</c:v>
                </c:pt>
                <c:pt idx="2">
                  <c:v>0.28584325235442065</c:v>
                </c:pt>
              </c:numCache>
            </c:numRef>
          </c:val>
          <c:extLst>
            <c:ext xmlns:c16="http://schemas.microsoft.com/office/drawing/2014/chart" uri="{C3380CC4-5D6E-409C-BE32-E72D297353CC}">
              <c16:uniqueId val="{00000006-2412-4DF3-B67D-88BBDC4A5BD6}"/>
            </c:ext>
          </c:extLst>
        </c:ser>
        <c:ser>
          <c:idx val="7"/>
          <c:order val="7"/>
          <c:tx>
            <c:strRef>
              <c:f>'ЭК по товар (Тест)'!$A$11</c:f>
              <c:strCache>
                <c:ptCount val="1"/>
                <c:pt idx="0">
                  <c:v>Plastic materials and products</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half of 2019  </c:v>
                </c:pt>
                <c:pt idx="1">
                  <c:v>I half of 2020  </c:v>
                </c:pt>
                <c:pt idx="2">
                  <c:v>I half of 2021  </c:v>
                </c:pt>
              </c:strCache>
            </c:strRef>
          </c:cat>
          <c:val>
            <c:numRef>
              <c:f>'ЭК по товар (Тест)'!$AF$11:$AH$11</c:f>
              <c:numCache>
                <c:formatCode>0.0%</c:formatCode>
                <c:ptCount val="3"/>
                <c:pt idx="0">
                  <c:v>3.326074195329317E-2</c:v>
                </c:pt>
                <c:pt idx="1">
                  <c:v>2.9699106869478163E-2</c:v>
                </c:pt>
                <c:pt idx="2">
                  <c:v>3.7456858777087015E-2</c:v>
                </c:pt>
              </c:numCache>
            </c:numRef>
          </c:val>
          <c:extLst>
            <c:ext xmlns:c16="http://schemas.microsoft.com/office/drawing/2014/chart" uri="{C3380CC4-5D6E-409C-BE32-E72D297353CC}">
              <c16:uniqueId val="{00000007-2412-4DF3-B67D-88BBDC4A5BD6}"/>
            </c:ext>
          </c:extLst>
        </c:ser>
        <c:dLbls>
          <c:showLegendKey val="0"/>
          <c:showVal val="1"/>
          <c:showCatName val="0"/>
          <c:showSerName val="0"/>
          <c:showPercent val="0"/>
          <c:showBubbleSize val="0"/>
        </c:dLbls>
        <c:gapWidth val="70"/>
        <c:shape val="box"/>
        <c:axId val="1265146767"/>
        <c:axId val="1265159247"/>
        <c:axId val="0"/>
      </c:bar3DChart>
      <c:catAx>
        <c:axId val="1265146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65159247"/>
        <c:crosses val="autoZero"/>
        <c:auto val="1"/>
        <c:lblAlgn val="ctr"/>
        <c:lblOffset val="100"/>
        <c:noMultiLvlLbl val="0"/>
      </c:catAx>
      <c:valAx>
        <c:axId val="1265159247"/>
        <c:scaling>
          <c:orientation val="minMax"/>
        </c:scaling>
        <c:delete val="1"/>
        <c:axPos val="l"/>
        <c:numFmt formatCode="0%" sourceLinked="1"/>
        <c:majorTickMark val="none"/>
        <c:minorTickMark val="none"/>
        <c:tickLblPos val="nextTo"/>
        <c:crossAx val="1265146767"/>
        <c:crosses val="autoZero"/>
        <c:crossBetween val="between"/>
      </c:valAx>
      <c:spPr>
        <a:noFill/>
        <a:ln>
          <a:noFill/>
        </a:ln>
        <a:effectLst/>
      </c:spPr>
    </c:plotArea>
    <c:legend>
      <c:legendPos val="r"/>
      <c:layout>
        <c:manualLayout>
          <c:xMode val="edge"/>
          <c:yMode val="edge"/>
          <c:x val="0.65543625553328666"/>
          <c:y val="8.6798887296869048E-2"/>
          <c:w val="0.33211481130781301"/>
          <c:h val="0.704309369157992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'Имп. тов по группам 5д'!$AE$34</c:f>
              <c:strCache>
                <c:ptCount val="1"/>
                <c:pt idx="0">
                  <c:v>Other groups of goods</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The 1st half of 2019</c:v>
                </c:pt>
                <c:pt idx="1">
                  <c:v>The 1st half of 2020</c:v>
                </c:pt>
                <c:pt idx="2">
                  <c:v>The 1st half of 2021</c:v>
                </c:pt>
              </c:strCache>
            </c:strRef>
          </c:cat>
          <c:val>
            <c:numRef>
              <c:f>'Имп. тов по группам 5д'!$AG$34:$AI$34</c:f>
              <c:numCache>
                <c:formatCode>0.0%</c:formatCode>
                <c:ptCount val="3"/>
                <c:pt idx="0">
                  <c:v>0.17887497438991246</c:v>
                </c:pt>
                <c:pt idx="1">
                  <c:v>0.18335575355985478</c:v>
                </c:pt>
                <c:pt idx="2">
                  <c:v>0.22086086262715551</c:v>
                </c:pt>
              </c:numCache>
            </c:numRef>
          </c:val>
          <c:extLst>
            <c:ext xmlns:c16="http://schemas.microsoft.com/office/drawing/2014/chart" uri="{C3380CC4-5D6E-409C-BE32-E72D297353CC}">
              <c16:uniqueId val="{00000000-BFEE-4BF1-8E7C-B9390ECB7789}"/>
            </c:ext>
          </c:extLst>
        </c:ser>
        <c:ser>
          <c:idx val="1"/>
          <c:order val="1"/>
          <c:tx>
            <c:strRef>
              <c:f>'Имп. тов по группам 5д'!$AE$35</c:f>
              <c:strCache>
                <c:ptCount val="1"/>
                <c:pt idx="0">
                  <c:v>Plastic materials and products</c:v>
                </c:pt>
              </c:strCache>
            </c:strRef>
          </c:tx>
          <c:spPr>
            <a:solidFill>
              <a:schemeClr val="bg1">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The 1st half of 2019</c:v>
                </c:pt>
                <c:pt idx="1">
                  <c:v>The 1st half of 2020</c:v>
                </c:pt>
                <c:pt idx="2">
                  <c:v>The 1st half of 2021</c:v>
                </c:pt>
              </c:strCache>
            </c:strRef>
          </c:cat>
          <c:val>
            <c:numRef>
              <c:f>'Имп. тов по группам 5д'!$AG$35:$AI$35</c:f>
              <c:numCache>
                <c:formatCode>0.0%</c:formatCode>
                <c:ptCount val="3"/>
                <c:pt idx="0">
                  <c:v>5.2681268301991067E-2</c:v>
                </c:pt>
                <c:pt idx="1">
                  <c:v>5.2060591466567996E-2</c:v>
                </c:pt>
                <c:pt idx="2">
                  <c:v>5.1901910798278078E-2</c:v>
                </c:pt>
              </c:numCache>
            </c:numRef>
          </c:val>
          <c:extLst>
            <c:ext xmlns:c16="http://schemas.microsoft.com/office/drawing/2014/chart" uri="{C3380CC4-5D6E-409C-BE32-E72D297353CC}">
              <c16:uniqueId val="{00000001-BFEE-4BF1-8E7C-B9390ECB7789}"/>
            </c:ext>
          </c:extLst>
        </c:ser>
        <c:ser>
          <c:idx val="2"/>
          <c:order val="2"/>
          <c:tx>
            <c:strRef>
              <c:f>'Имп. тов по группам 5д'!$AE$36</c:f>
              <c:strCache>
                <c:ptCount val="1"/>
                <c:pt idx="0">
                  <c:v>Mineral products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The 1st half of 2019</c:v>
                </c:pt>
                <c:pt idx="1">
                  <c:v>The 1st half of 2020</c:v>
                </c:pt>
                <c:pt idx="2">
                  <c:v>The 1st half of 2021</c:v>
                </c:pt>
              </c:strCache>
            </c:strRef>
          </c:cat>
          <c:val>
            <c:numRef>
              <c:f>'Имп. тов по группам 5д'!$AG$36:$AI$36</c:f>
              <c:numCache>
                <c:formatCode>0.0%</c:formatCode>
                <c:ptCount val="3"/>
                <c:pt idx="0">
                  <c:v>6.8246083384359821E-2</c:v>
                </c:pt>
                <c:pt idx="1">
                  <c:v>6.6489408615959519E-2</c:v>
                </c:pt>
                <c:pt idx="2">
                  <c:v>6.2281394038764933E-2</c:v>
                </c:pt>
              </c:numCache>
            </c:numRef>
          </c:val>
          <c:extLst>
            <c:ext xmlns:c16="http://schemas.microsoft.com/office/drawing/2014/chart" uri="{C3380CC4-5D6E-409C-BE32-E72D297353CC}">
              <c16:uniqueId val="{00000002-BFEE-4BF1-8E7C-B9390ECB7789}"/>
            </c:ext>
          </c:extLst>
        </c:ser>
        <c:ser>
          <c:idx val="3"/>
          <c:order val="3"/>
          <c:tx>
            <c:strRef>
              <c:f>'Имп. тов по группам 5д'!$AE$37</c:f>
              <c:strCache>
                <c:ptCount val="1"/>
                <c:pt idx="0">
                  <c:v>Products of chemical industry</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The 1st half of 2019</c:v>
                </c:pt>
                <c:pt idx="1">
                  <c:v>The 1st half of 2020</c:v>
                </c:pt>
                <c:pt idx="2">
                  <c:v>The 1st half of 2021</c:v>
                </c:pt>
              </c:strCache>
            </c:strRef>
          </c:cat>
          <c:val>
            <c:numRef>
              <c:f>'Имп. тов по группам 5д'!$AG$37:$AI$37</c:f>
              <c:numCache>
                <c:formatCode>0.0%</c:formatCode>
                <c:ptCount val="3"/>
                <c:pt idx="0">
                  <c:v>9.5363963727025616E-2</c:v>
                </c:pt>
                <c:pt idx="1">
                  <c:v>0.11433747157695248</c:v>
                </c:pt>
                <c:pt idx="2">
                  <c:v>0.11105335169796811</c:v>
                </c:pt>
              </c:numCache>
            </c:numRef>
          </c:val>
          <c:extLst>
            <c:ext xmlns:c16="http://schemas.microsoft.com/office/drawing/2014/chart" uri="{C3380CC4-5D6E-409C-BE32-E72D297353CC}">
              <c16:uniqueId val="{00000003-BFEE-4BF1-8E7C-B9390ECB7789}"/>
            </c:ext>
          </c:extLst>
        </c:ser>
        <c:ser>
          <c:idx val="4"/>
          <c:order val="4"/>
          <c:tx>
            <c:strRef>
              <c:f>'Имп. тов по группам 5д'!$AE$38</c:f>
              <c:strCache>
                <c:ptCount val="1"/>
                <c:pt idx="0">
                  <c:v>Resources of unearthly, air and water transports</c:v>
                </c:pt>
              </c:strCache>
            </c:strRef>
          </c:tx>
          <c:spPr>
            <a:solidFill>
              <a:schemeClr val="bg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The 1st half of 2019</c:v>
                </c:pt>
                <c:pt idx="1">
                  <c:v>The 1st half of 2020</c:v>
                </c:pt>
                <c:pt idx="2">
                  <c:v>The 1st half of 2021</c:v>
                </c:pt>
              </c:strCache>
            </c:strRef>
          </c:cat>
          <c:val>
            <c:numRef>
              <c:f>'Имп. тов по группам 5д'!$AG$38:$AI$38</c:f>
              <c:numCache>
                <c:formatCode>0.0%</c:formatCode>
                <c:ptCount val="3"/>
                <c:pt idx="0">
                  <c:v>0.12007180993904609</c:v>
                </c:pt>
                <c:pt idx="1">
                  <c:v>0.10554341255474615</c:v>
                </c:pt>
                <c:pt idx="2">
                  <c:v>0.11672297465526059</c:v>
                </c:pt>
              </c:numCache>
            </c:numRef>
          </c:val>
          <c:extLst>
            <c:ext xmlns:c16="http://schemas.microsoft.com/office/drawing/2014/chart" uri="{C3380CC4-5D6E-409C-BE32-E72D297353CC}">
              <c16:uniqueId val="{00000004-BFEE-4BF1-8E7C-B9390ECB7789}"/>
            </c:ext>
          </c:extLst>
        </c:ser>
        <c:ser>
          <c:idx val="5"/>
          <c:order val="5"/>
          <c:tx>
            <c:strRef>
              <c:f>'Имп. тов по группам 5д'!$AE$39</c:f>
              <c:strCache>
                <c:ptCount val="1"/>
                <c:pt idx="0">
                  <c:v>Nonprecious metals and products of them</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The 1st half of 2019</c:v>
                </c:pt>
                <c:pt idx="1">
                  <c:v>The 1st half of 2020</c:v>
                </c:pt>
                <c:pt idx="2">
                  <c:v>The 1st half of 2021</c:v>
                </c:pt>
              </c:strCache>
            </c:strRef>
          </c:cat>
          <c:val>
            <c:numRef>
              <c:f>'Имп. тов по группам 5д'!$AG$39:$AI$39</c:f>
              <c:numCache>
                <c:formatCode>0.0%</c:formatCode>
                <c:ptCount val="3"/>
                <c:pt idx="0">
                  <c:v>0.12789151187816925</c:v>
                </c:pt>
                <c:pt idx="1">
                  <c:v>0.12516815952057106</c:v>
                </c:pt>
                <c:pt idx="2">
                  <c:v>0.12872589271538196</c:v>
                </c:pt>
              </c:numCache>
            </c:numRef>
          </c:val>
          <c:extLst>
            <c:ext xmlns:c16="http://schemas.microsoft.com/office/drawing/2014/chart" uri="{C3380CC4-5D6E-409C-BE32-E72D297353CC}">
              <c16:uniqueId val="{00000005-BFEE-4BF1-8E7C-B9390ECB7789}"/>
            </c:ext>
          </c:extLst>
        </c:ser>
        <c:ser>
          <c:idx val="6"/>
          <c:order val="6"/>
          <c:tx>
            <c:strRef>
              <c:f>'Имп. тов по группам 5д'!$AE$40</c:f>
              <c:strCache>
                <c:ptCount val="1"/>
                <c:pt idx="0">
                  <c:v>Machinery, equipment and mechanism</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The 1st half of 2019</c:v>
                </c:pt>
                <c:pt idx="1">
                  <c:v>The 1st half of 2020</c:v>
                </c:pt>
                <c:pt idx="2">
                  <c:v>The 1st half of 2021</c:v>
                </c:pt>
              </c:strCache>
            </c:strRef>
          </c:cat>
          <c:val>
            <c:numRef>
              <c:f>'Имп. тов по группам 5д'!$AG$40:$AI$40</c:f>
              <c:numCache>
                <c:formatCode>0.0%</c:formatCode>
                <c:ptCount val="3"/>
                <c:pt idx="0">
                  <c:v>0.31772988243253741</c:v>
                </c:pt>
                <c:pt idx="1">
                  <c:v>0.31182413657515551</c:v>
                </c:pt>
                <c:pt idx="2">
                  <c:v>0.2646256570946609</c:v>
                </c:pt>
              </c:numCache>
            </c:numRef>
          </c:val>
          <c:extLst>
            <c:ext xmlns:c16="http://schemas.microsoft.com/office/drawing/2014/chart" uri="{C3380CC4-5D6E-409C-BE32-E72D297353CC}">
              <c16:uniqueId val="{00000006-BFEE-4BF1-8E7C-B9390ECB7789}"/>
            </c:ext>
          </c:extLst>
        </c:ser>
        <c:ser>
          <c:idx val="7"/>
          <c:order val="7"/>
          <c:tx>
            <c:strRef>
              <c:f>'Имп. тов по группам 5д'!$AE$41</c:f>
              <c:strCache>
                <c:ptCount val="1"/>
                <c:pt idx="0">
                  <c:v>Vegetable products</c:v>
                </c:pt>
              </c:strCache>
            </c:strRef>
          </c:tx>
          <c:spPr>
            <a:solidFill>
              <a:schemeClr val="accent3">
                <a:lumMod val="60000"/>
                <a:lumOff val="40000"/>
                <a:alpha val="97000"/>
              </a:schemeClr>
            </a:solidFill>
            <a:ln>
              <a:noFill/>
            </a:ln>
            <a:effectLst>
              <a:outerShdw blurRad="139700" dist="50800" dir="5400000" algn="ctr" rotWithShape="0">
                <a:srgbClr val="000000">
                  <a:alpha val="40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The 1st half of 2019</c:v>
                </c:pt>
                <c:pt idx="1">
                  <c:v>The 1st half of 2020</c:v>
                </c:pt>
                <c:pt idx="2">
                  <c:v>The 1st half of 2021</c:v>
                </c:pt>
              </c:strCache>
            </c:strRef>
          </c:cat>
          <c:val>
            <c:numRef>
              <c:f>'Имп. тов по группам 5д'!$AG$41:$AI$41</c:f>
              <c:numCache>
                <c:formatCode>0.0%</c:formatCode>
                <c:ptCount val="3"/>
                <c:pt idx="0">
                  <c:v>3.9140505946958351E-2</c:v>
                </c:pt>
                <c:pt idx="1">
                  <c:v>4.1221066130192677E-2</c:v>
                </c:pt>
                <c:pt idx="2">
                  <c:v>4.3827956372529876E-2</c:v>
                </c:pt>
              </c:numCache>
            </c:numRef>
          </c:val>
          <c:extLst>
            <c:ext xmlns:c16="http://schemas.microsoft.com/office/drawing/2014/chart" uri="{C3380CC4-5D6E-409C-BE32-E72D297353CC}">
              <c16:uniqueId val="{00000007-BFEE-4BF1-8E7C-B9390ECB7789}"/>
            </c:ext>
          </c:extLst>
        </c:ser>
        <c:dLbls>
          <c:showLegendKey val="0"/>
          <c:showVal val="1"/>
          <c:showCatName val="0"/>
          <c:showSerName val="0"/>
          <c:showPercent val="0"/>
          <c:showBubbleSize val="0"/>
        </c:dLbls>
        <c:gapWidth val="70"/>
        <c:shape val="box"/>
        <c:axId val="996655056"/>
        <c:axId val="996640912"/>
        <c:axId val="0"/>
      </c:bar3DChart>
      <c:catAx>
        <c:axId val="996655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96640912"/>
        <c:crosses val="autoZero"/>
        <c:auto val="1"/>
        <c:lblAlgn val="ctr"/>
        <c:lblOffset val="100"/>
        <c:noMultiLvlLbl val="0"/>
      </c:catAx>
      <c:valAx>
        <c:axId val="996640912"/>
        <c:scaling>
          <c:orientation val="minMax"/>
        </c:scaling>
        <c:delete val="1"/>
        <c:axPos val="l"/>
        <c:numFmt formatCode="0%" sourceLinked="1"/>
        <c:majorTickMark val="none"/>
        <c:minorTickMark val="none"/>
        <c:tickLblPos val="nextTo"/>
        <c:crossAx val="996655056"/>
        <c:crosses val="autoZero"/>
        <c:crossBetween val="between"/>
      </c:valAx>
      <c:spPr>
        <a:noFill/>
        <a:ln>
          <a:noFill/>
        </a:ln>
        <a:effectLst>
          <a:glow rad="203200">
            <a:schemeClr val="accent1">
              <a:alpha val="40000"/>
            </a:schemeClr>
          </a:glow>
        </a:effectLst>
      </c:spPr>
    </c:plotArea>
    <c:legend>
      <c:legendPos val="r"/>
      <c:layout>
        <c:manualLayout>
          <c:xMode val="edge"/>
          <c:yMode val="edge"/>
          <c:x val="0.61819086351125774"/>
          <c:y val="8.2940978925175046E-2"/>
          <c:w val="0.33656629643536301"/>
          <c:h val="0.783807346386855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 по стран'!$AE$1</c:f>
              <c:strCache>
                <c:ptCount val="1"/>
                <c:pt idx="0">
                  <c:v>I half of 2019  </c:v>
                </c:pt>
              </c:strCache>
            </c:strRef>
          </c:tx>
          <c:spPr>
            <a:solidFill>
              <a:schemeClr val="accent5">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China</c:v>
                </c:pt>
                <c:pt idx="1">
                  <c:v>Russia</c:v>
                </c:pt>
                <c:pt idx="2">
                  <c:v>Republic of Korea</c:v>
                </c:pt>
                <c:pt idx="3">
                  <c:v>Kazakhstan</c:v>
                </c:pt>
                <c:pt idx="4">
                  <c:v>Turkey</c:v>
                </c:pt>
                <c:pt idx="5">
                  <c:v>Germany</c:v>
                </c:pt>
                <c:pt idx="6">
                  <c:v>Other countries</c:v>
                </c:pt>
              </c:strCache>
            </c:strRef>
          </c:cat>
          <c:val>
            <c:numRef>
              <c:f>'Импорт по стран'!$AE$5:$AE$11</c:f>
              <c:numCache>
                <c:formatCode>_-* #,##0_р_._-;\-* #,##0_р_._-;_-* "-"??_р_._-;_-@_-</c:formatCode>
                <c:ptCount val="7"/>
                <c:pt idx="0">
                  <c:v>2302.7135270000135</c:v>
                </c:pt>
                <c:pt idx="1">
                  <c:v>1811.4159540000001</c:v>
                </c:pt>
                <c:pt idx="2">
                  <c:v>1371.3891980000476</c:v>
                </c:pt>
                <c:pt idx="3">
                  <c:v>1067.2385209999993</c:v>
                </c:pt>
                <c:pt idx="4">
                  <c:v>642.9243629999977</c:v>
                </c:pt>
                <c:pt idx="5">
                  <c:v>354.50411499999859</c:v>
                </c:pt>
                <c:pt idx="6">
                  <c:v>3078.7645735000015</c:v>
                </c:pt>
              </c:numCache>
            </c:numRef>
          </c:val>
          <c:extLst>
            <c:ext xmlns:c16="http://schemas.microsoft.com/office/drawing/2014/chart" uri="{C3380CC4-5D6E-409C-BE32-E72D297353CC}">
              <c16:uniqueId val="{00000000-3E28-4165-8AC7-43AF9EE9C027}"/>
            </c:ext>
          </c:extLst>
        </c:ser>
        <c:ser>
          <c:idx val="1"/>
          <c:order val="1"/>
          <c:tx>
            <c:strRef>
              <c:f>'Импорт по стран'!$AF$1</c:f>
              <c:strCache>
                <c:ptCount val="1"/>
                <c:pt idx="0">
                  <c:v>I half of 2020  </c:v>
                </c:pt>
              </c:strCache>
            </c:strRef>
          </c:tx>
          <c:spPr>
            <a:solidFill>
              <a:schemeClr val="accent6">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China</c:v>
                </c:pt>
                <c:pt idx="1">
                  <c:v>Russia</c:v>
                </c:pt>
                <c:pt idx="2">
                  <c:v>Republic of Korea</c:v>
                </c:pt>
                <c:pt idx="3">
                  <c:v>Kazakhstan</c:v>
                </c:pt>
                <c:pt idx="4">
                  <c:v>Turkey</c:v>
                </c:pt>
                <c:pt idx="5">
                  <c:v>Germany</c:v>
                </c:pt>
                <c:pt idx="6">
                  <c:v>Other countries</c:v>
                </c:pt>
              </c:strCache>
            </c:strRef>
          </c:cat>
          <c:val>
            <c:numRef>
              <c:f>'Импорт по стран'!$AF$5:$AF$11</c:f>
              <c:numCache>
                <c:formatCode>_-* #,##0_р_._-;\-* #,##0_р_._-;_-* "-"??_р_._-;_-@_-</c:formatCode>
                <c:ptCount val="7"/>
                <c:pt idx="0">
                  <c:v>2004.6980517014381</c:v>
                </c:pt>
                <c:pt idx="1">
                  <c:v>2016.1896960784679</c:v>
                </c:pt>
                <c:pt idx="2">
                  <c:v>1066.9789300000029</c:v>
                </c:pt>
                <c:pt idx="3">
                  <c:v>856.97383000019931</c:v>
                </c:pt>
                <c:pt idx="4">
                  <c:v>489.60305999999912</c:v>
                </c:pt>
                <c:pt idx="5">
                  <c:v>290.63560575180617</c:v>
                </c:pt>
                <c:pt idx="6">
                  <c:v>2451.8354817835761</c:v>
                </c:pt>
              </c:numCache>
            </c:numRef>
          </c:val>
          <c:extLst>
            <c:ext xmlns:c16="http://schemas.microsoft.com/office/drawing/2014/chart" uri="{C3380CC4-5D6E-409C-BE32-E72D297353CC}">
              <c16:uniqueId val="{00000001-3E28-4165-8AC7-43AF9EE9C027}"/>
            </c:ext>
          </c:extLst>
        </c:ser>
        <c:ser>
          <c:idx val="2"/>
          <c:order val="2"/>
          <c:tx>
            <c:strRef>
              <c:f>'Импорт по стран'!$AG$1</c:f>
              <c:strCache>
                <c:ptCount val="1"/>
                <c:pt idx="0">
                  <c:v>I half of 2021  </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China</c:v>
                </c:pt>
                <c:pt idx="1">
                  <c:v>Russia</c:v>
                </c:pt>
                <c:pt idx="2">
                  <c:v>Republic of Korea</c:v>
                </c:pt>
                <c:pt idx="3">
                  <c:v>Kazakhstan</c:v>
                </c:pt>
                <c:pt idx="4">
                  <c:v>Turkey</c:v>
                </c:pt>
                <c:pt idx="5">
                  <c:v>Germany</c:v>
                </c:pt>
                <c:pt idx="6">
                  <c:v>Other countries</c:v>
                </c:pt>
              </c:strCache>
            </c:strRef>
          </c:cat>
          <c:val>
            <c:numRef>
              <c:f>'Импорт по стран'!$AG$5:$AG$11</c:f>
              <c:numCache>
                <c:formatCode>_-* #,##0_р_._-;\-* #,##0_р_._-;_-* "-"??_р_._-;_-@_-</c:formatCode>
                <c:ptCount val="7"/>
                <c:pt idx="0">
                  <c:v>2338.660031920338</c:v>
                </c:pt>
                <c:pt idx="1">
                  <c:v>2403.1485212867719</c:v>
                </c:pt>
                <c:pt idx="2">
                  <c:v>831.29400354000904</c:v>
                </c:pt>
                <c:pt idx="3">
                  <c:v>1326.4811760000032</c:v>
                </c:pt>
                <c:pt idx="4">
                  <c:v>1013.2134600000302</c:v>
                </c:pt>
                <c:pt idx="5">
                  <c:v>326.05366154355545</c:v>
                </c:pt>
                <c:pt idx="6">
                  <c:v>3278.7809380105518</c:v>
                </c:pt>
              </c:numCache>
            </c:numRef>
          </c:val>
          <c:extLst>
            <c:ext xmlns:c16="http://schemas.microsoft.com/office/drawing/2014/chart" uri="{C3380CC4-5D6E-409C-BE32-E72D297353CC}">
              <c16:uniqueId val="{00000002-3E28-4165-8AC7-43AF9EE9C027}"/>
            </c:ext>
          </c:extLst>
        </c:ser>
        <c:dLbls>
          <c:showLegendKey val="0"/>
          <c:showVal val="0"/>
          <c:showCatName val="0"/>
          <c:showSerName val="0"/>
          <c:showPercent val="0"/>
          <c:showBubbleSize val="0"/>
        </c:dLbls>
        <c:gapWidth val="219"/>
        <c:overlap val="-27"/>
        <c:axId val="202979359"/>
        <c:axId val="202968543"/>
      </c:barChart>
      <c:catAx>
        <c:axId val="20297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2968543"/>
        <c:crosses val="autoZero"/>
        <c:auto val="1"/>
        <c:lblAlgn val="ctr"/>
        <c:lblOffset val="100"/>
        <c:noMultiLvlLbl val="0"/>
      </c:catAx>
      <c:valAx>
        <c:axId val="202968543"/>
        <c:scaling>
          <c:orientation val="minMax"/>
          <c:max val="4000"/>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7935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49728745928092E-2"/>
          <c:y val="6.1226171972673542E-2"/>
          <c:w val="0.90686133110044675"/>
          <c:h val="0.80743448274128959"/>
        </c:manualLayout>
      </c:layout>
      <c:bar3DChart>
        <c:barDir val="col"/>
        <c:grouping val="stacked"/>
        <c:varyColors val="0"/>
        <c:ser>
          <c:idx val="0"/>
          <c:order val="0"/>
          <c:tx>
            <c:strRef>
              <c:f>'Услуг ЭК и ИМ 6-7д'!$A$8</c:f>
              <c:strCache>
                <c:ptCount val="1"/>
                <c:pt idx="0">
                  <c:v>Other services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threePt" dir="t"/>
            </a:scene3d>
            <a:sp3d contourW="6350">
              <a:contourClr>
                <a:schemeClr val="accent1"/>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6-7д'!$AN$8:$AW$8</c:f>
              <c:numCache>
                <c:formatCode>_-* #,##0_р_._-;\-* #,##0_р_._-;_-* "-"??_р_._-;_-@_-</c:formatCode>
                <c:ptCount val="10"/>
                <c:pt idx="0">
                  <c:v>68.080299878274104</c:v>
                </c:pt>
                <c:pt idx="1">
                  <c:v>97.592622709122054</c:v>
                </c:pt>
                <c:pt idx="2">
                  <c:v>103.10875397352038</c:v>
                </c:pt>
                <c:pt idx="3">
                  <c:v>93.557276390684365</c:v>
                </c:pt>
                <c:pt idx="4">
                  <c:v>72.847174210453716</c:v>
                </c:pt>
                <c:pt idx="5">
                  <c:v>84.067434578335451</c:v>
                </c:pt>
                <c:pt idx="6">
                  <c:v>94.844183945219811</c:v>
                </c:pt>
                <c:pt idx="7">
                  <c:v>103.19713017839626</c:v>
                </c:pt>
                <c:pt idx="8">
                  <c:v>80.572158055973262</c:v>
                </c:pt>
                <c:pt idx="9">
                  <c:v>102.48664448364286</c:v>
                </c:pt>
              </c:numCache>
            </c:numRef>
          </c:val>
          <c:extLst>
            <c:ext xmlns:c16="http://schemas.microsoft.com/office/drawing/2014/chart" uri="{C3380CC4-5D6E-409C-BE32-E72D297353CC}">
              <c16:uniqueId val="{00000000-6980-4782-ADC0-0A0AC31F18E6}"/>
            </c:ext>
          </c:extLst>
        </c:ser>
        <c:ser>
          <c:idx val="1"/>
          <c:order val="1"/>
          <c:tx>
            <c:strRef>
              <c:f>'Услуг ЭК и ИМ 6-7д'!$A$9</c:f>
              <c:strCache>
                <c:ptCount val="1"/>
                <c:pt idx="0">
                  <c:v>Travel related services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a:sp3d contourW="6350">
              <a:contourClr>
                <a:schemeClr val="accent2"/>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6-7д'!$AN$9:$AW$9</c:f>
              <c:numCache>
                <c:formatCode>_-* #,##0_р_._-;\-* #,##0_р_._-;_-* "-"??_р_._-;_-@_-</c:formatCode>
                <c:ptCount val="10"/>
                <c:pt idx="0">
                  <c:v>275.02545910710012</c:v>
                </c:pt>
                <c:pt idx="1">
                  <c:v>384.08250482390014</c:v>
                </c:pt>
                <c:pt idx="2">
                  <c:v>450.5328784309001</c:v>
                </c:pt>
                <c:pt idx="3">
                  <c:v>370.96587307400023</c:v>
                </c:pt>
                <c:pt idx="4">
                  <c:v>238.61181467400021</c:v>
                </c:pt>
                <c:pt idx="5">
                  <c:v>17.105409880325006</c:v>
                </c:pt>
                <c:pt idx="6">
                  <c:v>32.396541307325009</c:v>
                </c:pt>
                <c:pt idx="7">
                  <c:v>56.93448523332998</c:v>
                </c:pt>
                <c:pt idx="8">
                  <c:v>74.378781416400003</c:v>
                </c:pt>
                <c:pt idx="9">
                  <c:v>138.56775435129993</c:v>
                </c:pt>
              </c:numCache>
            </c:numRef>
          </c:val>
          <c:extLst>
            <c:ext xmlns:c16="http://schemas.microsoft.com/office/drawing/2014/chart" uri="{C3380CC4-5D6E-409C-BE32-E72D297353CC}">
              <c16:uniqueId val="{00000001-6980-4782-ADC0-0A0AC31F18E6}"/>
            </c:ext>
          </c:extLst>
        </c:ser>
        <c:ser>
          <c:idx val="2"/>
          <c:order val="2"/>
          <c:tx>
            <c:strRef>
              <c:f>'Услуг ЭК и ИМ 6-7д'!$A$10</c:f>
              <c:strCache>
                <c:ptCount val="1"/>
                <c:pt idx="0">
                  <c:v>Transport services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a:sp3d contourW="6350">
              <a:contourClr>
                <a:schemeClr val="accent3"/>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6-7д'!$AN$10:$AW$10</c:f>
              <c:numCache>
                <c:formatCode>_-* #,##0_р_._-;\-* #,##0_р_._-;_-* "-"??_р_._-;_-@_-</c:formatCode>
                <c:ptCount val="10"/>
                <c:pt idx="0">
                  <c:v>293.01290194085993</c:v>
                </c:pt>
                <c:pt idx="1">
                  <c:v>306.97474905013803</c:v>
                </c:pt>
                <c:pt idx="2">
                  <c:v>295.96291012569753</c:v>
                </c:pt>
                <c:pt idx="3">
                  <c:v>355.91519661806558</c:v>
                </c:pt>
                <c:pt idx="4">
                  <c:v>295.3200391367198</c:v>
                </c:pt>
                <c:pt idx="5">
                  <c:v>213.84879578818914</c:v>
                </c:pt>
                <c:pt idx="6">
                  <c:v>221.35664833561373</c:v>
                </c:pt>
                <c:pt idx="7">
                  <c:v>269.00226776274974</c:v>
                </c:pt>
                <c:pt idx="8">
                  <c:v>269.36383226056375</c:v>
                </c:pt>
                <c:pt idx="9">
                  <c:v>287.09609381350157</c:v>
                </c:pt>
              </c:numCache>
            </c:numRef>
          </c:val>
          <c:extLst>
            <c:ext xmlns:c16="http://schemas.microsoft.com/office/drawing/2014/chart" uri="{C3380CC4-5D6E-409C-BE32-E72D297353CC}">
              <c16:uniqueId val="{00000002-6980-4782-ADC0-0A0AC31F18E6}"/>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0"/>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526272690050492E-2"/>
          <c:y val="8.0375250862786324E-2"/>
          <c:w val="0.90686133110044675"/>
          <c:h val="0.78167600014834671"/>
        </c:manualLayout>
      </c:layout>
      <c:bar3DChart>
        <c:barDir val="col"/>
        <c:grouping val="stacked"/>
        <c:varyColors val="0"/>
        <c:ser>
          <c:idx val="0"/>
          <c:order val="0"/>
          <c:tx>
            <c:strRef>
              <c:f>'Услуг ЭК и ИМ 6-7д'!$A$28</c:f>
              <c:strCache>
                <c:ptCount val="1"/>
                <c:pt idx="0">
                  <c:v>Other services</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6-7д'!$AN$28:$AW$28</c:f>
              <c:numCache>
                <c:formatCode>_-* #,##0_р_._-;\-* #,##0_р_._-;_-* "-"??_р_._-;_-@_-</c:formatCode>
                <c:ptCount val="10"/>
                <c:pt idx="0">
                  <c:v>88.63159316530232</c:v>
                </c:pt>
                <c:pt idx="1">
                  <c:v>130.23870785184113</c:v>
                </c:pt>
                <c:pt idx="2">
                  <c:v>149.71706837296711</c:v>
                </c:pt>
                <c:pt idx="3">
                  <c:v>162.18188025416578</c:v>
                </c:pt>
                <c:pt idx="4">
                  <c:v>128.65183214442777</c:v>
                </c:pt>
                <c:pt idx="5">
                  <c:v>196.33503693826935</c:v>
                </c:pt>
                <c:pt idx="6">
                  <c:v>182.24415523139078</c:v>
                </c:pt>
                <c:pt idx="7">
                  <c:v>294.75940258507956</c:v>
                </c:pt>
                <c:pt idx="8">
                  <c:v>168.46890084590672</c:v>
                </c:pt>
                <c:pt idx="9">
                  <c:v>93.756169212938516</c:v>
                </c:pt>
              </c:numCache>
            </c:numRef>
          </c:val>
          <c:extLst>
            <c:ext xmlns:c16="http://schemas.microsoft.com/office/drawing/2014/chart" uri="{C3380CC4-5D6E-409C-BE32-E72D297353CC}">
              <c16:uniqueId val="{00000000-6DDD-4CFF-AD0D-7677902328B5}"/>
            </c:ext>
          </c:extLst>
        </c:ser>
        <c:ser>
          <c:idx val="1"/>
          <c:order val="1"/>
          <c:tx>
            <c:strRef>
              <c:f>'Услуг ЭК и ИМ 6-7д'!$A$29</c:f>
              <c:strCache>
                <c:ptCount val="1"/>
                <c:pt idx="0">
                  <c:v>Travel related services</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6-7д'!$AN$29:$AW$29</c:f>
              <c:numCache>
                <c:formatCode>_-* #,##0_р_._-;\-* #,##0_р_._-;_-* "-"??_р_._-;_-@_-</c:formatCode>
                <c:ptCount val="10"/>
                <c:pt idx="0">
                  <c:v>516.94504991031397</c:v>
                </c:pt>
                <c:pt idx="1">
                  <c:v>585.75681725341985</c:v>
                </c:pt>
                <c:pt idx="2">
                  <c:v>672.29711066544519</c:v>
                </c:pt>
                <c:pt idx="3">
                  <c:v>538.00599712382564</c:v>
                </c:pt>
                <c:pt idx="4">
                  <c:v>451.04778674769881</c:v>
                </c:pt>
                <c:pt idx="5">
                  <c:v>125.89674336511978</c:v>
                </c:pt>
                <c:pt idx="6">
                  <c:v>151.10823738436133</c:v>
                </c:pt>
                <c:pt idx="7">
                  <c:v>160.13402366523576</c:v>
                </c:pt>
                <c:pt idx="8">
                  <c:v>223.36756846277808</c:v>
                </c:pt>
                <c:pt idx="9">
                  <c:v>364.79827389899594</c:v>
                </c:pt>
              </c:numCache>
            </c:numRef>
          </c:val>
          <c:extLst>
            <c:ext xmlns:c16="http://schemas.microsoft.com/office/drawing/2014/chart" uri="{C3380CC4-5D6E-409C-BE32-E72D297353CC}">
              <c16:uniqueId val="{00000001-6DDD-4CFF-AD0D-7677902328B5}"/>
            </c:ext>
          </c:extLst>
        </c:ser>
        <c:ser>
          <c:idx val="2"/>
          <c:order val="2"/>
          <c:tx>
            <c:strRef>
              <c:f>'Услуг ЭК и ИМ 6-7д'!$A$30</c:f>
              <c:strCache>
                <c:ptCount val="1"/>
                <c:pt idx="0">
                  <c:v>Transport services</c:v>
                </c:pt>
              </c:strCache>
            </c:strRef>
          </c:tx>
          <c:spPr>
            <a:solidFill>
              <a:schemeClr val="accent3"/>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6-7д'!$AN$30:$AW$30</c:f>
              <c:numCache>
                <c:formatCode>_-* #,##0_р_._-;\-* #,##0_р_._-;_-* "-"??_р_._-;_-@_-</c:formatCode>
                <c:ptCount val="10"/>
                <c:pt idx="0">
                  <c:v>584.57730875885557</c:v>
                </c:pt>
                <c:pt idx="1">
                  <c:v>595.05208161811777</c:v>
                </c:pt>
                <c:pt idx="2">
                  <c:v>634.92269401814974</c:v>
                </c:pt>
                <c:pt idx="3">
                  <c:v>702.54477649920648</c:v>
                </c:pt>
                <c:pt idx="4">
                  <c:v>484.96247986130379</c:v>
                </c:pt>
                <c:pt idx="5">
                  <c:v>364.05227375558673</c:v>
                </c:pt>
                <c:pt idx="6">
                  <c:v>457.78680588634063</c:v>
                </c:pt>
                <c:pt idx="7">
                  <c:v>514.31083222007135</c:v>
                </c:pt>
                <c:pt idx="8">
                  <c:v>453.18823432068285</c:v>
                </c:pt>
                <c:pt idx="9">
                  <c:v>604.42812457998775</c:v>
                </c:pt>
              </c:numCache>
            </c:numRef>
          </c:val>
          <c:extLst>
            <c:ext xmlns:c16="http://schemas.microsoft.com/office/drawing/2014/chart" uri="{C3380CC4-5D6E-409C-BE32-E72D297353CC}">
              <c16:uniqueId val="{00000002-6DDD-4CFF-AD0D-7677902328B5}"/>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a:scene3d>
      <a:camera prst="orthographicFront"/>
      <a:lightRig rig="threePt" dir="t"/>
    </a:scene3d>
    <a:sp3d>
      <a:bevelB w="0" h="266700"/>
    </a:sp3d>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0.09697</cdr:x>
      <cdr:y>0.12676</cdr:y>
    </cdr:from>
    <cdr:to>
      <cdr:x>0.96515</cdr:x>
      <cdr:y>0.4</cdr:y>
    </cdr:to>
    <cdr:cxnSp macro="">
      <cdr:nvCxnSpPr>
        <cdr:cNvPr id="3" name="Прямая соединительная линия 2"/>
        <cdr:cNvCxnSpPr/>
      </cdr:nvCxnSpPr>
      <cdr:spPr>
        <a:xfrm xmlns:a="http://schemas.openxmlformats.org/drawingml/2006/main">
          <a:off x="609600" y="428625"/>
          <a:ext cx="5457825" cy="923925"/>
        </a:xfrm>
        <a:prstGeom xmlns:a="http://schemas.openxmlformats.org/drawingml/2006/main" prst="line">
          <a:avLst/>
        </a:prstGeom>
        <a:ln xmlns:a="http://schemas.openxmlformats.org/drawingml/2006/main">
          <a:headEnd type="diamo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0E839-54D6-481F-99F1-4B5D089CF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45</Pages>
  <Words>21507</Words>
  <Characters>122594</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143814</CharactersWithSpaces>
  <SharedDoc>false</SharedDoc>
  <HLinks>
    <vt:vector size="234" baseType="variant">
      <vt:variant>
        <vt:i4>1835065</vt:i4>
      </vt:variant>
      <vt:variant>
        <vt:i4>215</vt:i4>
      </vt:variant>
      <vt:variant>
        <vt:i4>0</vt:i4>
      </vt:variant>
      <vt:variant>
        <vt:i4>5</vt:i4>
      </vt:variant>
      <vt:variant>
        <vt:lpwstr/>
      </vt:variant>
      <vt:variant>
        <vt:lpwstr>_Toc19961206</vt:lpwstr>
      </vt:variant>
      <vt:variant>
        <vt:i4>2031673</vt:i4>
      </vt:variant>
      <vt:variant>
        <vt:i4>209</vt:i4>
      </vt:variant>
      <vt:variant>
        <vt:i4>0</vt:i4>
      </vt:variant>
      <vt:variant>
        <vt:i4>5</vt:i4>
      </vt:variant>
      <vt:variant>
        <vt:lpwstr/>
      </vt:variant>
      <vt:variant>
        <vt:lpwstr>_Toc19961205</vt:lpwstr>
      </vt:variant>
      <vt:variant>
        <vt:i4>1966137</vt:i4>
      </vt:variant>
      <vt:variant>
        <vt:i4>203</vt:i4>
      </vt:variant>
      <vt:variant>
        <vt:i4>0</vt:i4>
      </vt:variant>
      <vt:variant>
        <vt:i4>5</vt:i4>
      </vt:variant>
      <vt:variant>
        <vt:lpwstr/>
      </vt:variant>
      <vt:variant>
        <vt:lpwstr>_Toc19961204</vt:lpwstr>
      </vt:variant>
      <vt:variant>
        <vt:i4>1638457</vt:i4>
      </vt:variant>
      <vt:variant>
        <vt:i4>197</vt:i4>
      </vt:variant>
      <vt:variant>
        <vt:i4>0</vt:i4>
      </vt:variant>
      <vt:variant>
        <vt:i4>5</vt:i4>
      </vt:variant>
      <vt:variant>
        <vt:lpwstr/>
      </vt:variant>
      <vt:variant>
        <vt:lpwstr>_Toc19961203</vt:lpwstr>
      </vt:variant>
      <vt:variant>
        <vt:i4>1572921</vt:i4>
      </vt:variant>
      <vt:variant>
        <vt:i4>191</vt:i4>
      </vt:variant>
      <vt:variant>
        <vt:i4>0</vt:i4>
      </vt:variant>
      <vt:variant>
        <vt:i4>5</vt:i4>
      </vt:variant>
      <vt:variant>
        <vt:lpwstr/>
      </vt:variant>
      <vt:variant>
        <vt:lpwstr>_Toc19961202</vt:lpwstr>
      </vt:variant>
      <vt:variant>
        <vt:i4>1769529</vt:i4>
      </vt:variant>
      <vt:variant>
        <vt:i4>185</vt:i4>
      </vt:variant>
      <vt:variant>
        <vt:i4>0</vt:i4>
      </vt:variant>
      <vt:variant>
        <vt:i4>5</vt:i4>
      </vt:variant>
      <vt:variant>
        <vt:lpwstr/>
      </vt:variant>
      <vt:variant>
        <vt:lpwstr>_Toc19961201</vt:lpwstr>
      </vt:variant>
      <vt:variant>
        <vt:i4>1703993</vt:i4>
      </vt:variant>
      <vt:variant>
        <vt:i4>179</vt:i4>
      </vt:variant>
      <vt:variant>
        <vt:i4>0</vt:i4>
      </vt:variant>
      <vt:variant>
        <vt:i4>5</vt:i4>
      </vt:variant>
      <vt:variant>
        <vt:lpwstr/>
      </vt:variant>
      <vt:variant>
        <vt:lpwstr>_Toc19961200</vt:lpwstr>
      </vt:variant>
      <vt:variant>
        <vt:i4>1048624</vt:i4>
      </vt:variant>
      <vt:variant>
        <vt:i4>173</vt:i4>
      </vt:variant>
      <vt:variant>
        <vt:i4>0</vt:i4>
      </vt:variant>
      <vt:variant>
        <vt:i4>5</vt:i4>
      </vt:variant>
      <vt:variant>
        <vt:lpwstr/>
      </vt:variant>
      <vt:variant>
        <vt:lpwstr>_Toc19961199</vt:lpwstr>
      </vt:variant>
      <vt:variant>
        <vt:i4>1114160</vt:i4>
      </vt:variant>
      <vt:variant>
        <vt:i4>167</vt:i4>
      </vt:variant>
      <vt:variant>
        <vt:i4>0</vt:i4>
      </vt:variant>
      <vt:variant>
        <vt:i4>5</vt:i4>
      </vt:variant>
      <vt:variant>
        <vt:lpwstr/>
      </vt:variant>
      <vt:variant>
        <vt:lpwstr>_Toc19961198</vt:lpwstr>
      </vt:variant>
      <vt:variant>
        <vt:i4>1966128</vt:i4>
      </vt:variant>
      <vt:variant>
        <vt:i4>161</vt:i4>
      </vt:variant>
      <vt:variant>
        <vt:i4>0</vt:i4>
      </vt:variant>
      <vt:variant>
        <vt:i4>5</vt:i4>
      </vt:variant>
      <vt:variant>
        <vt:lpwstr/>
      </vt:variant>
      <vt:variant>
        <vt:lpwstr>_Toc19961197</vt:lpwstr>
      </vt:variant>
      <vt:variant>
        <vt:i4>2031664</vt:i4>
      </vt:variant>
      <vt:variant>
        <vt:i4>155</vt:i4>
      </vt:variant>
      <vt:variant>
        <vt:i4>0</vt:i4>
      </vt:variant>
      <vt:variant>
        <vt:i4>5</vt:i4>
      </vt:variant>
      <vt:variant>
        <vt:lpwstr/>
      </vt:variant>
      <vt:variant>
        <vt:lpwstr>_Toc19961196</vt:lpwstr>
      </vt:variant>
      <vt:variant>
        <vt:i4>1835056</vt:i4>
      </vt:variant>
      <vt:variant>
        <vt:i4>149</vt:i4>
      </vt:variant>
      <vt:variant>
        <vt:i4>0</vt:i4>
      </vt:variant>
      <vt:variant>
        <vt:i4>5</vt:i4>
      </vt:variant>
      <vt:variant>
        <vt:lpwstr/>
      </vt:variant>
      <vt:variant>
        <vt:lpwstr>_Toc19961195</vt:lpwstr>
      </vt:variant>
      <vt:variant>
        <vt:i4>1900592</vt:i4>
      </vt:variant>
      <vt:variant>
        <vt:i4>143</vt:i4>
      </vt:variant>
      <vt:variant>
        <vt:i4>0</vt:i4>
      </vt:variant>
      <vt:variant>
        <vt:i4>5</vt:i4>
      </vt:variant>
      <vt:variant>
        <vt:lpwstr/>
      </vt:variant>
      <vt:variant>
        <vt:lpwstr>_Toc19961194</vt:lpwstr>
      </vt:variant>
      <vt:variant>
        <vt:i4>1703984</vt:i4>
      </vt:variant>
      <vt:variant>
        <vt:i4>137</vt:i4>
      </vt:variant>
      <vt:variant>
        <vt:i4>0</vt:i4>
      </vt:variant>
      <vt:variant>
        <vt:i4>5</vt:i4>
      </vt:variant>
      <vt:variant>
        <vt:lpwstr/>
      </vt:variant>
      <vt:variant>
        <vt:lpwstr>_Toc19961193</vt:lpwstr>
      </vt:variant>
      <vt:variant>
        <vt:i4>1769520</vt:i4>
      </vt:variant>
      <vt:variant>
        <vt:i4>131</vt:i4>
      </vt:variant>
      <vt:variant>
        <vt:i4>0</vt:i4>
      </vt:variant>
      <vt:variant>
        <vt:i4>5</vt:i4>
      </vt:variant>
      <vt:variant>
        <vt:lpwstr/>
      </vt:variant>
      <vt:variant>
        <vt:lpwstr>_Toc19961192</vt:lpwstr>
      </vt:variant>
      <vt:variant>
        <vt:i4>1572912</vt:i4>
      </vt:variant>
      <vt:variant>
        <vt:i4>125</vt:i4>
      </vt:variant>
      <vt:variant>
        <vt:i4>0</vt:i4>
      </vt:variant>
      <vt:variant>
        <vt:i4>5</vt:i4>
      </vt:variant>
      <vt:variant>
        <vt:lpwstr/>
      </vt:variant>
      <vt:variant>
        <vt:lpwstr>_Toc19961191</vt:lpwstr>
      </vt:variant>
      <vt:variant>
        <vt:i4>1638448</vt:i4>
      </vt:variant>
      <vt:variant>
        <vt:i4>119</vt:i4>
      </vt:variant>
      <vt:variant>
        <vt:i4>0</vt:i4>
      </vt:variant>
      <vt:variant>
        <vt:i4>5</vt:i4>
      </vt:variant>
      <vt:variant>
        <vt:lpwstr/>
      </vt:variant>
      <vt:variant>
        <vt:lpwstr>_Toc19961190</vt:lpwstr>
      </vt:variant>
      <vt:variant>
        <vt:i4>1048625</vt:i4>
      </vt:variant>
      <vt:variant>
        <vt:i4>113</vt:i4>
      </vt:variant>
      <vt:variant>
        <vt:i4>0</vt:i4>
      </vt:variant>
      <vt:variant>
        <vt:i4>5</vt:i4>
      </vt:variant>
      <vt:variant>
        <vt:lpwstr/>
      </vt:variant>
      <vt:variant>
        <vt:lpwstr>_Toc19961189</vt:lpwstr>
      </vt:variant>
      <vt:variant>
        <vt:i4>1114161</vt:i4>
      </vt:variant>
      <vt:variant>
        <vt:i4>107</vt:i4>
      </vt:variant>
      <vt:variant>
        <vt:i4>0</vt:i4>
      </vt:variant>
      <vt:variant>
        <vt:i4>5</vt:i4>
      </vt:variant>
      <vt:variant>
        <vt:lpwstr/>
      </vt:variant>
      <vt:variant>
        <vt:lpwstr>_Toc19961188</vt:lpwstr>
      </vt:variant>
      <vt:variant>
        <vt:i4>1966129</vt:i4>
      </vt:variant>
      <vt:variant>
        <vt:i4>101</vt:i4>
      </vt:variant>
      <vt:variant>
        <vt:i4>0</vt:i4>
      </vt:variant>
      <vt:variant>
        <vt:i4>5</vt:i4>
      </vt:variant>
      <vt:variant>
        <vt:lpwstr/>
      </vt:variant>
      <vt:variant>
        <vt:lpwstr>_Toc19961187</vt:lpwstr>
      </vt:variant>
      <vt:variant>
        <vt:i4>2031665</vt:i4>
      </vt:variant>
      <vt:variant>
        <vt:i4>95</vt:i4>
      </vt:variant>
      <vt:variant>
        <vt:i4>0</vt:i4>
      </vt:variant>
      <vt:variant>
        <vt:i4>5</vt:i4>
      </vt:variant>
      <vt:variant>
        <vt:lpwstr/>
      </vt:variant>
      <vt:variant>
        <vt:lpwstr>_Toc19961186</vt:lpwstr>
      </vt:variant>
      <vt:variant>
        <vt:i4>1835057</vt:i4>
      </vt:variant>
      <vt:variant>
        <vt:i4>89</vt:i4>
      </vt:variant>
      <vt:variant>
        <vt:i4>0</vt:i4>
      </vt:variant>
      <vt:variant>
        <vt:i4>5</vt:i4>
      </vt:variant>
      <vt:variant>
        <vt:lpwstr/>
      </vt:variant>
      <vt:variant>
        <vt:lpwstr>_Toc19961185</vt:lpwstr>
      </vt:variant>
      <vt:variant>
        <vt:i4>1900593</vt:i4>
      </vt:variant>
      <vt:variant>
        <vt:i4>83</vt:i4>
      </vt:variant>
      <vt:variant>
        <vt:i4>0</vt:i4>
      </vt:variant>
      <vt:variant>
        <vt:i4>5</vt:i4>
      </vt:variant>
      <vt:variant>
        <vt:lpwstr/>
      </vt:variant>
      <vt:variant>
        <vt:lpwstr>_Toc19961184</vt:lpwstr>
      </vt:variant>
      <vt:variant>
        <vt:i4>1703985</vt:i4>
      </vt:variant>
      <vt:variant>
        <vt:i4>77</vt:i4>
      </vt:variant>
      <vt:variant>
        <vt:i4>0</vt:i4>
      </vt:variant>
      <vt:variant>
        <vt:i4>5</vt:i4>
      </vt:variant>
      <vt:variant>
        <vt:lpwstr/>
      </vt:variant>
      <vt:variant>
        <vt:lpwstr>_Toc19961183</vt:lpwstr>
      </vt:variant>
      <vt:variant>
        <vt:i4>1769521</vt:i4>
      </vt:variant>
      <vt:variant>
        <vt:i4>71</vt:i4>
      </vt:variant>
      <vt:variant>
        <vt:i4>0</vt:i4>
      </vt:variant>
      <vt:variant>
        <vt:i4>5</vt:i4>
      </vt:variant>
      <vt:variant>
        <vt:lpwstr/>
      </vt:variant>
      <vt:variant>
        <vt:lpwstr>_Toc19961182</vt:lpwstr>
      </vt:variant>
      <vt:variant>
        <vt:i4>1572913</vt:i4>
      </vt:variant>
      <vt:variant>
        <vt:i4>65</vt:i4>
      </vt:variant>
      <vt:variant>
        <vt:i4>0</vt:i4>
      </vt:variant>
      <vt:variant>
        <vt:i4>5</vt:i4>
      </vt:variant>
      <vt:variant>
        <vt:lpwstr/>
      </vt:variant>
      <vt:variant>
        <vt:lpwstr>_Toc19961181</vt:lpwstr>
      </vt:variant>
      <vt:variant>
        <vt:i4>1638449</vt:i4>
      </vt:variant>
      <vt:variant>
        <vt:i4>59</vt:i4>
      </vt:variant>
      <vt:variant>
        <vt:i4>0</vt:i4>
      </vt:variant>
      <vt:variant>
        <vt:i4>5</vt:i4>
      </vt:variant>
      <vt:variant>
        <vt:lpwstr/>
      </vt:variant>
      <vt:variant>
        <vt:lpwstr>_Toc19961180</vt:lpwstr>
      </vt:variant>
      <vt:variant>
        <vt:i4>1048638</vt:i4>
      </vt:variant>
      <vt:variant>
        <vt:i4>53</vt:i4>
      </vt:variant>
      <vt:variant>
        <vt:i4>0</vt:i4>
      </vt:variant>
      <vt:variant>
        <vt:i4>5</vt:i4>
      </vt:variant>
      <vt:variant>
        <vt:lpwstr/>
      </vt:variant>
      <vt:variant>
        <vt:lpwstr>_Toc19961179</vt:lpwstr>
      </vt:variant>
      <vt:variant>
        <vt:i4>1114174</vt:i4>
      </vt:variant>
      <vt:variant>
        <vt:i4>47</vt:i4>
      </vt:variant>
      <vt:variant>
        <vt:i4>0</vt:i4>
      </vt:variant>
      <vt:variant>
        <vt:i4>5</vt:i4>
      </vt:variant>
      <vt:variant>
        <vt:lpwstr/>
      </vt:variant>
      <vt:variant>
        <vt:lpwstr>_Toc19961178</vt:lpwstr>
      </vt:variant>
      <vt:variant>
        <vt:i4>1966142</vt:i4>
      </vt:variant>
      <vt:variant>
        <vt:i4>41</vt:i4>
      </vt:variant>
      <vt:variant>
        <vt:i4>0</vt:i4>
      </vt:variant>
      <vt:variant>
        <vt:i4>5</vt:i4>
      </vt:variant>
      <vt:variant>
        <vt:lpwstr/>
      </vt:variant>
      <vt:variant>
        <vt:lpwstr>_Toc19961177</vt:lpwstr>
      </vt:variant>
      <vt:variant>
        <vt:i4>2031678</vt:i4>
      </vt:variant>
      <vt:variant>
        <vt:i4>35</vt:i4>
      </vt:variant>
      <vt:variant>
        <vt:i4>0</vt:i4>
      </vt:variant>
      <vt:variant>
        <vt:i4>5</vt:i4>
      </vt:variant>
      <vt:variant>
        <vt:lpwstr/>
      </vt:variant>
      <vt:variant>
        <vt:lpwstr>_Toc19961176</vt:lpwstr>
      </vt:variant>
      <vt:variant>
        <vt:i4>1835070</vt:i4>
      </vt:variant>
      <vt:variant>
        <vt:i4>29</vt:i4>
      </vt:variant>
      <vt:variant>
        <vt:i4>0</vt:i4>
      </vt:variant>
      <vt:variant>
        <vt:i4>5</vt:i4>
      </vt:variant>
      <vt:variant>
        <vt:lpwstr/>
      </vt:variant>
      <vt:variant>
        <vt:lpwstr>_Toc19961175</vt:lpwstr>
      </vt:variant>
      <vt:variant>
        <vt:i4>1900606</vt:i4>
      </vt:variant>
      <vt:variant>
        <vt:i4>23</vt:i4>
      </vt:variant>
      <vt:variant>
        <vt:i4>0</vt:i4>
      </vt:variant>
      <vt:variant>
        <vt:i4>5</vt:i4>
      </vt:variant>
      <vt:variant>
        <vt:lpwstr/>
      </vt:variant>
      <vt:variant>
        <vt:lpwstr>_Toc19961174</vt:lpwstr>
      </vt:variant>
      <vt:variant>
        <vt:i4>1703998</vt:i4>
      </vt:variant>
      <vt:variant>
        <vt:i4>17</vt:i4>
      </vt:variant>
      <vt:variant>
        <vt:i4>0</vt:i4>
      </vt:variant>
      <vt:variant>
        <vt:i4>5</vt:i4>
      </vt:variant>
      <vt:variant>
        <vt:lpwstr/>
      </vt:variant>
      <vt:variant>
        <vt:lpwstr>_Toc19961173</vt:lpwstr>
      </vt:variant>
      <vt:variant>
        <vt:i4>1769511</vt:i4>
      </vt:variant>
      <vt:variant>
        <vt:i4>12</vt:i4>
      </vt:variant>
      <vt:variant>
        <vt:i4>0</vt:i4>
      </vt:variant>
      <vt:variant>
        <vt:i4>5</vt:i4>
      </vt:variant>
      <vt:variant>
        <vt:lpwstr>mailto:val@cbu.uz</vt:lpwstr>
      </vt:variant>
      <vt:variant>
        <vt:lpwstr/>
      </vt:variant>
      <vt:variant>
        <vt:i4>7995402</vt:i4>
      </vt:variant>
      <vt:variant>
        <vt:i4>9</vt:i4>
      </vt:variant>
      <vt:variant>
        <vt:i4>0</vt:i4>
      </vt:variant>
      <vt:variant>
        <vt:i4>5</vt:i4>
      </vt:variant>
      <vt:variant>
        <vt:lpwstr>mailto:r.mirzaahmedov@cbu.uz</vt:lpwstr>
      </vt:variant>
      <vt:variant>
        <vt:lpwstr/>
      </vt:variant>
      <vt:variant>
        <vt:i4>786552</vt:i4>
      </vt:variant>
      <vt:variant>
        <vt:i4>6</vt:i4>
      </vt:variant>
      <vt:variant>
        <vt:i4>0</vt:i4>
      </vt:variant>
      <vt:variant>
        <vt:i4>5</vt:i4>
      </vt:variant>
      <vt:variant>
        <vt:lpwstr>mailto:abdurakhmanov.d@cbu.uz</vt:lpwstr>
      </vt:variant>
      <vt:variant>
        <vt:lpwstr/>
      </vt:variant>
      <vt:variant>
        <vt:i4>720910</vt:i4>
      </vt:variant>
      <vt:variant>
        <vt:i4>3</vt:i4>
      </vt:variant>
      <vt:variant>
        <vt:i4>0</vt:i4>
      </vt:variant>
      <vt:variant>
        <vt:i4>5</vt:i4>
      </vt:variant>
      <vt:variant>
        <vt:lpwstr>http://data.imf.org/</vt:lpwstr>
      </vt:variant>
      <vt:variant>
        <vt:lpwstr/>
      </vt:variant>
      <vt:variant>
        <vt:i4>6750310</vt:i4>
      </vt:variant>
      <vt:variant>
        <vt:i4>0</vt:i4>
      </vt:variant>
      <vt:variant>
        <vt:i4>0</vt:i4>
      </vt:variant>
      <vt:variant>
        <vt:i4>5</vt:i4>
      </vt:variant>
      <vt:variant>
        <vt:lpwstr>http://www.cbu.uz/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Zilobiddin Ergashev</cp:lastModifiedBy>
  <cp:revision>537</cp:revision>
  <cp:lastPrinted>2021-09-23T07:48:00Z</cp:lastPrinted>
  <dcterms:created xsi:type="dcterms:W3CDTF">2021-06-28T14:16:00Z</dcterms:created>
  <dcterms:modified xsi:type="dcterms:W3CDTF">2021-09-23T07:48:00Z</dcterms:modified>
</cp:coreProperties>
</file>